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3537" w14:textId="77777777" w:rsidR="00DD6218" w:rsidRDefault="00DD6218" w:rsidP="00D874B6">
      <w:pPr>
        <w:pStyle w:val="Normalweb"/>
      </w:pPr>
    </w:p>
    <w:p w14:paraId="0312CC7A" w14:textId="38BBED71" w:rsidR="00D874B6" w:rsidRDefault="00D874B6" w:rsidP="00D874B6">
      <w:pPr>
        <w:pStyle w:val="Normalweb"/>
        <w:jc w:val="center"/>
        <w:rPr>
          <w:rFonts w:ascii="Arial" w:hAnsi="Arial" w:cs="Arial"/>
          <w:b/>
          <w:i/>
          <w:sz w:val="22"/>
        </w:rPr>
      </w:pPr>
      <w:r>
        <w:rPr>
          <w:rFonts w:ascii="Arial" w:hAnsi="Arial" w:cs="Arial"/>
          <w:b/>
          <w:noProof/>
          <w:sz w:val="22"/>
        </w:rPr>
        <mc:AlternateContent>
          <mc:Choice Requires="wps">
            <w:drawing>
              <wp:anchor distT="0" distB="0" distL="114300" distR="114300" simplePos="0" relativeHeight="251659264" behindDoc="1" locked="0" layoutInCell="1" allowOverlap="1" wp14:anchorId="2CE359FF" wp14:editId="4652BF4B">
                <wp:simplePos x="0" y="0"/>
                <wp:positionH relativeFrom="column">
                  <wp:posOffset>-161564</wp:posOffset>
                </wp:positionH>
                <wp:positionV relativeFrom="paragraph">
                  <wp:posOffset>-319848</wp:posOffset>
                </wp:positionV>
                <wp:extent cx="6171204" cy="800543"/>
                <wp:effectExtent l="0" t="0" r="1270" b="1270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71204" cy="80054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A17AED" id="Rectangle 4" o:spid="_x0000_s1026" style="position:absolute;margin-left:-12.7pt;margin-top:-25.15pt;width:485.9pt;height:6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" fillcolor="#bfbfbf [2412]" stroked="f" strokeweight="1pt">
                <v:path arrowok="t"/>
                <o:lock v:ext="edit" aspectratio="t"/>
                <v:textbox style="mso-fit-shape-to-text:t"/>
              </v:rect>
            </w:pict>
          </mc:Fallback>
        </mc:AlternateContent>
      </w:r>
      <w:r w:rsidR="00E92059" w:rsidRPr="00D07DC1">
        <w:rPr>
          <w:rFonts w:ascii="Arial" w:eastAsia="Calibri" w:hAnsi="Arial" w:cs="Arial"/>
          <w:b/>
          <w:i/>
          <w:sz w:val="22"/>
        </w:rPr>
        <w:t>Cour</w:t>
      </w:r>
      <w:r w:rsidR="00E92059" w:rsidRPr="00D07DC1">
        <w:rPr>
          <w:rFonts w:ascii="Arial" w:hAnsi="Arial" w:cs="Arial"/>
          <w:b/>
          <w:i/>
          <w:sz w:val="22"/>
        </w:rPr>
        <w:t xml:space="preserve"> </w:t>
      </w:r>
      <w:r>
        <w:rPr>
          <w:rFonts w:ascii="Arial" w:eastAsia="Calibri" w:hAnsi="Arial" w:cs="Arial"/>
          <w:b/>
          <w:i/>
          <w:sz w:val="22"/>
        </w:rPr>
        <w:t>suprême des États-Unis</w:t>
      </w:r>
      <w:r w:rsidR="00E92059" w:rsidRPr="00D07DC1">
        <w:rPr>
          <w:rFonts w:ascii="Arial" w:hAnsi="Arial" w:cs="Arial"/>
          <w:b/>
          <w:i/>
          <w:sz w:val="22"/>
        </w:rPr>
        <w:t xml:space="preserve">, </w:t>
      </w:r>
      <w:r>
        <w:rPr>
          <w:rFonts w:ascii="Arial" w:hAnsi="Arial" w:cs="Arial"/>
          <w:b/>
          <w:i/>
          <w:sz w:val="22"/>
        </w:rPr>
        <w:t>19 juin 2017</w:t>
      </w:r>
      <w:r w:rsidR="00E92059" w:rsidRPr="00D07DC1">
        <w:rPr>
          <w:rFonts w:ascii="Arial" w:hAnsi="Arial" w:cs="Arial"/>
          <w:b/>
          <w:i/>
          <w:sz w:val="22"/>
        </w:rPr>
        <w:t xml:space="preserve">, </w:t>
      </w:r>
      <w:r>
        <w:rPr>
          <w:rFonts w:ascii="Arial" w:eastAsia="Calibri" w:hAnsi="Arial" w:cs="Arial"/>
          <w:b/>
          <w:sz w:val="22"/>
        </w:rPr>
        <w:t>Packingham v. North Carolina,</w:t>
      </w:r>
      <w:r>
        <w:rPr>
          <w:rFonts w:ascii="Arial" w:hAnsi="Arial" w:cs="Arial"/>
          <w:b/>
          <w:i/>
          <w:sz w:val="22"/>
        </w:rPr>
        <w:t xml:space="preserve"> n°15–1194</w:t>
      </w:r>
    </w:p>
    <w:p w14:paraId="14E73228" w14:textId="34BC5955" w:rsidR="00D874B6" w:rsidRDefault="00D874B6" w:rsidP="00E92059">
      <w:pPr>
        <w:spacing w:before="115"/>
        <w:jc w:val="both"/>
        <w:rPr>
          <w:rFonts w:ascii="Times New Roman" w:hAnsi="Times New Roman" w:cs="Times New Roman"/>
          <w:lang w:eastAsia="fr-FR"/>
        </w:rPr>
      </w:pPr>
    </w:p>
    <w:p w14:paraId="6F81731D" w14:textId="77777777" w:rsidR="00D874B6" w:rsidRDefault="00D874B6" w:rsidP="00E92059">
      <w:pPr>
        <w:spacing w:before="115"/>
        <w:jc w:val="both"/>
        <w:rPr>
          <w:rFonts w:ascii="Arial" w:hAnsi="Arial" w:cs="Arial"/>
          <w:b/>
          <w:sz w:val="22"/>
        </w:rPr>
      </w:pPr>
    </w:p>
    <w:p w14:paraId="21BC149E" w14:textId="1974B381" w:rsidR="00E92059" w:rsidRDefault="00E92059" w:rsidP="00E92059">
      <w:pPr>
        <w:spacing w:before="115"/>
        <w:jc w:val="both"/>
        <w:rPr>
          <w:rFonts w:ascii="Arial" w:hAnsi="Arial" w:cs="Arial"/>
          <w:b/>
          <w:sz w:val="22"/>
        </w:rPr>
      </w:pPr>
      <w:r w:rsidRPr="001F4C1A">
        <w:rPr>
          <w:rFonts w:ascii="Arial" w:hAnsi="Arial" w:cs="Arial"/>
          <w:b/>
          <w:sz w:val="22"/>
        </w:rPr>
        <w:t>M</w:t>
      </w:r>
      <w:r w:rsidRPr="00D07DC1">
        <w:rPr>
          <w:rFonts w:ascii="Arial" w:hAnsi="Arial" w:cs="Arial"/>
          <w:b/>
          <w:sz w:val="21"/>
        </w:rPr>
        <w:t>OTS CLEFS </w:t>
      </w:r>
      <w:r>
        <w:rPr>
          <w:rFonts w:ascii="Arial" w:hAnsi="Arial" w:cs="Arial"/>
          <w:b/>
          <w:sz w:val="22"/>
        </w:rPr>
        <w:t xml:space="preserve">: </w:t>
      </w:r>
      <w:r w:rsidR="005019E7">
        <w:rPr>
          <w:rFonts w:ascii="Arial" w:hAnsi="Arial" w:cs="Arial"/>
          <w:b/>
          <w:sz w:val="22"/>
        </w:rPr>
        <w:t xml:space="preserve">liberté d’expression — droit du public à l’information — réseaux sociaux — Cour suprême des États-Unis — détournement de mineur — Internet — censure — Premier amendement — droit au repentir — liberté d’opinion   </w:t>
      </w:r>
    </w:p>
    <w:p w14:paraId="476FA8D8" w14:textId="530C9402" w:rsidR="00E92059" w:rsidRDefault="000A4DB7" w:rsidP="000A4DB7">
      <w:pPr>
        <w:tabs>
          <w:tab w:val="left" w:pos="2060"/>
        </w:tabs>
        <w:spacing w:before="115"/>
        <w:jc w:val="both"/>
        <w:rPr>
          <w:rFonts w:ascii="Arial" w:hAnsi="Arial" w:cs="Arial"/>
          <w:b/>
          <w:sz w:val="22"/>
        </w:rPr>
      </w:pPr>
      <w:r>
        <w:rPr>
          <w:rFonts w:ascii="Arial" w:hAnsi="Arial" w:cs="Arial"/>
          <w:b/>
          <w:sz w:val="22"/>
        </w:rPr>
        <w:tab/>
      </w:r>
      <w:bookmarkStart w:id="0" w:name="_GoBack"/>
      <w:bookmarkEnd w:id="0"/>
    </w:p>
    <w:p w14:paraId="21AD5032" w14:textId="468AAEAC" w:rsidR="00E92059" w:rsidRPr="005019E7" w:rsidRDefault="005019E7" w:rsidP="00E92059">
      <w:pPr>
        <w:spacing w:before="115"/>
        <w:jc w:val="both"/>
        <w:rPr>
          <w:rFonts w:ascii="Arial" w:hAnsi="Arial" w:cs="Arial"/>
          <w:i/>
          <w:sz w:val="22"/>
        </w:rPr>
      </w:pPr>
      <w:r>
        <w:rPr>
          <w:rFonts w:ascii="Arial" w:hAnsi="Arial" w:cs="Arial"/>
          <w:i/>
          <w:sz w:val="22"/>
        </w:rPr>
        <w:t>La Cour suprême avait déjà reconnu l’importance de « vast democratic forums of the Internet » (</w:t>
      </w:r>
      <w:r>
        <w:rPr>
          <w:rFonts w:ascii="Arial" w:hAnsi="Arial" w:cs="Arial"/>
          <w:sz w:val="22"/>
        </w:rPr>
        <w:t>Reno v. American Civil Liberties Union, 1997)</w:t>
      </w:r>
      <w:r>
        <w:rPr>
          <w:rFonts w:ascii="Arial" w:hAnsi="Arial" w:cs="Arial"/>
          <w:i/>
          <w:sz w:val="22"/>
        </w:rPr>
        <w:t>, et il demeurait surprenant qu’en 2017, la consécration d’un droit d’accès au net n’ait pas encore eu lieu aux États-Unis, berce</w:t>
      </w:r>
      <w:r w:rsidR="001020C6">
        <w:rPr>
          <w:rFonts w:ascii="Arial" w:hAnsi="Arial" w:cs="Arial"/>
          <w:i/>
          <w:sz w:val="22"/>
        </w:rPr>
        <w:t xml:space="preserve">au des innovations numériques. Le litige, en l’espèce peu complexe à appréhender, a ainsi permis de figer dans le marbre la protection de cet espace par la Constitution américaine, et les obligations positives transmises aux États de ce fait — à savoir l’effectivité d’un accès à internet et la prééminence de la liberté d’expression. </w:t>
      </w:r>
    </w:p>
    <w:p w14:paraId="10EA4CF5" w14:textId="77777777" w:rsidR="00E92059" w:rsidRPr="00E7598E" w:rsidRDefault="00E92059" w:rsidP="00E92059">
      <w:pPr>
        <w:spacing w:before="115"/>
        <w:jc w:val="both"/>
        <w:rPr>
          <w:rFonts w:ascii="Arial" w:hAnsi="Arial" w:cs="Arial"/>
          <w:i/>
          <w:sz w:val="20"/>
        </w:rPr>
      </w:pPr>
    </w:p>
    <w:p w14:paraId="07970EBA" w14:textId="104A9B7B" w:rsidR="00E92059" w:rsidRDefault="00E92059" w:rsidP="007441E0">
      <w:pPr>
        <w:pBdr>
          <w:top w:val="single" w:sz="4" w:space="1" w:color="auto"/>
          <w:left w:val="single" w:sz="4" w:space="4" w:color="auto"/>
          <w:bottom w:val="single" w:sz="4" w:space="1" w:color="auto"/>
          <w:right w:val="single" w:sz="4" w:space="0" w:color="auto"/>
        </w:pBdr>
        <w:spacing w:before="115"/>
        <w:jc w:val="both"/>
        <w:rPr>
          <w:rFonts w:ascii="Arial" w:hAnsi="Arial" w:cs="Arial"/>
          <w:sz w:val="22"/>
        </w:rPr>
      </w:pPr>
      <w:r>
        <w:rPr>
          <w:rFonts w:ascii="Arial" w:hAnsi="Arial" w:cs="Arial"/>
          <w:sz w:val="22"/>
        </w:rPr>
        <w:t>F</w:t>
      </w:r>
      <w:r w:rsidRPr="00D07DC1">
        <w:rPr>
          <w:rFonts w:ascii="Arial" w:hAnsi="Arial" w:cs="Arial"/>
          <w:sz w:val="21"/>
        </w:rPr>
        <w:t>AITS</w:t>
      </w:r>
      <w:r>
        <w:rPr>
          <w:rFonts w:ascii="Arial" w:hAnsi="Arial" w:cs="Arial"/>
          <w:sz w:val="22"/>
        </w:rPr>
        <w:t xml:space="preserve"> : </w:t>
      </w:r>
      <w:r w:rsidR="00FB082E">
        <w:rPr>
          <w:rFonts w:ascii="Arial" w:hAnsi="Arial" w:cs="Arial"/>
          <w:sz w:val="22"/>
        </w:rPr>
        <w:t xml:space="preserve">En 2002, Lester Packingham, 21 ans, a une relation sexuelle avec une </w:t>
      </w:r>
      <w:r w:rsidR="007827E8">
        <w:rPr>
          <w:rFonts w:ascii="Arial" w:hAnsi="Arial" w:cs="Arial"/>
          <w:sz w:val="22"/>
        </w:rPr>
        <w:t>jeune fille</w:t>
      </w:r>
      <w:r w:rsidR="00FB082E">
        <w:rPr>
          <w:rFonts w:ascii="Arial" w:hAnsi="Arial" w:cs="Arial"/>
          <w:sz w:val="22"/>
        </w:rPr>
        <w:t xml:space="preserve"> de 13 ans. Il plaide coup</w:t>
      </w:r>
      <w:r w:rsidR="009B65D0">
        <w:rPr>
          <w:rFonts w:ascii="Arial" w:hAnsi="Arial" w:cs="Arial"/>
          <w:sz w:val="22"/>
        </w:rPr>
        <w:t xml:space="preserve">able et se voit condamné pour </w:t>
      </w:r>
      <w:r w:rsidR="007827E8">
        <w:rPr>
          <w:rFonts w:ascii="Arial" w:hAnsi="Arial" w:cs="Arial"/>
          <w:sz w:val="22"/>
        </w:rPr>
        <w:t>détournement de mineur</w:t>
      </w:r>
      <w:r w:rsidR="009B65D0">
        <w:rPr>
          <w:rFonts w:ascii="Arial" w:hAnsi="Arial" w:cs="Arial"/>
          <w:sz w:val="22"/>
        </w:rPr>
        <w:t>. Il purge une peine de prison et son nom est inscrit au registre des délinquants sexuels, pour une durée de 30 ans. Quelques années après, il s’inscrit sur le réseau social Facebook en utilisant un pseudonyme, mais un policier le repère. Or, dans l’État de Caroline du Nord, une loi interdit aux délinquants sexuels d’avoir accès aux médias numériques et aux réseaux sociaux</w:t>
      </w:r>
      <w:r w:rsidR="007827E8">
        <w:rPr>
          <w:rFonts w:ascii="Arial" w:hAnsi="Arial" w:cs="Arial"/>
          <w:sz w:val="22"/>
        </w:rPr>
        <w:t xml:space="preserve"> pouvant conduire à un dialogue avec des mineurs</w:t>
      </w:r>
      <w:r w:rsidR="009B65D0">
        <w:rPr>
          <w:rFonts w:ascii="Arial" w:hAnsi="Arial" w:cs="Arial"/>
          <w:sz w:val="22"/>
        </w:rPr>
        <w:t>. Il se voit alors condamné de nouveau et attaque l’État pour avoir censuré sa liberté d’expression</w:t>
      </w:r>
      <w:r w:rsidR="007827E8">
        <w:rPr>
          <w:rFonts w:ascii="Arial" w:hAnsi="Arial" w:cs="Arial"/>
          <w:sz w:val="22"/>
        </w:rPr>
        <w:t xml:space="preserve"> et violé le Premier a</w:t>
      </w:r>
      <w:r w:rsidR="009B65D0">
        <w:rPr>
          <w:rFonts w:ascii="Arial" w:hAnsi="Arial" w:cs="Arial"/>
          <w:sz w:val="22"/>
        </w:rPr>
        <w:t xml:space="preserve">mendement. </w:t>
      </w:r>
    </w:p>
    <w:p w14:paraId="491CA021" w14:textId="6B97D6FB" w:rsidR="00E92059" w:rsidRDefault="00E92059" w:rsidP="007441E0">
      <w:pPr>
        <w:pBdr>
          <w:top w:val="single" w:sz="4" w:space="1" w:color="auto"/>
          <w:left w:val="single" w:sz="4" w:space="4" w:color="auto"/>
          <w:bottom w:val="single" w:sz="4" w:space="1" w:color="auto"/>
          <w:right w:val="single" w:sz="4" w:space="0" w:color="auto"/>
        </w:pBdr>
        <w:spacing w:before="115"/>
        <w:jc w:val="both"/>
        <w:rPr>
          <w:rFonts w:ascii="Arial" w:hAnsi="Arial" w:cs="Arial"/>
          <w:sz w:val="22"/>
        </w:rPr>
      </w:pPr>
      <w:r>
        <w:rPr>
          <w:rFonts w:ascii="Arial" w:hAnsi="Arial" w:cs="Arial"/>
          <w:sz w:val="22"/>
        </w:rPr>
        <w:t>P</w:t>
      </w:r>
      <w:r w:rsidRPr="00D07DC1">
        <w:rPr>
          <w:rFonts w:ascii="Arial" w:hAnsi="Arial" w:cs="Arial"/>
          <w:sz w:val="21"/>
        </w:rPr>
        <w:t>ROCÉDURE</w:t>
      </w:r>
      <w:r>
        <w:rPr>
          <w:rFonts w:ascii="Arial" w:hAnsi="Arial" w:cs="Arial"/>
          <w:sz w:val="22"/>
        </w:rPr>
        <w:t xml:space="preserve"> : </w:t>
      </w:r>
      <w:r w:rsidR="00E75736">
        <w:rPr>
          <w:rFonts w:ascii="Arial" w:hAnsi="Arial" w:cs="Arial"/>
          <w:sz w:val="22"/>
        </w:rPr>
        <w:t xml:space="preserve">En première instance, le jury rejette sa demande d’annulation de la loi. </w:t>
      </w:r>
      <w:r w:rsidR="007441E0">
        <w:rPr>
          <w:rFonts w:ascii="Arial" w:hAnsi="Arial" w:cs="Arial"/>
          <w:sz w:val="22"/>
        </w:rPr>
        <w:t xml:space="preserve">Il interjette appel et la Cour de Caroline du Nord y fera droit. Elle juge que l’État n’a pas démontré un intérêt suffisamment légitime pour prendre une mesure d’interdiction si stricte. Par conséquent elle invalide les dispositions en cause. La Cour suprême de Caroline du Nord censure pourtant cette décision, et juge la loi constitutionnelle dans son intégralité, au motif qu’elle a été prise pour empêcher les délinquants sexuels d’obtenir, par le biais d’internet, des informations sur des mineurs.  </w:t>
      </w:r>
    </w:p>
    <w:p w14:paraId="6A37F26B" w14:textId="485032EA" w:rsidR="00E92059" w:rsidRDefault="00E92059" w:rsidP="007441E0">
      <w:pPr>
        <w:pBdr>
          <w:top w:val="single" w:sz="4" w:space="1" w:color="auto"/>
          <w:left w:val="single" w:sz="4" w:space="4" w:color="auto"/>
          <w:bottom w:val="single" w:sz="4" w:space="1" w:color="auto"/>
          <w:right w:val="single" w:sz="4" w:space="0" w:color="auto"/>
        </w:pBdr>
        <w:spacing w:before="115"/>
        <w:jc w:val="both"/>
        <w:rPr>
          <w:rFonts w:ascii="Arial" w:hAnsi="Arial" w:cs="Arial"/>
          <w:sz w:val="22"/>
        </w:rPr>
      </w:pPr>
      <w:r>
        <w:rPr>
          <w:rFonts w:ascii="Arial" w:hAnsi="Arial" w:cs="Arial"/>
          <w:sz w:val="22"/>
        </w:rPr>
        <w:t>P</w:t>
      </w:r>
      <w:r w:rsidRPr="00D07DC1">
        <w:rPr>
          <w:rFonts w:ascii="Arial" w:hAnsi="Arial" w:cs="Arial"/>
          <w:sz w:val="21"/>
        </w:rPr>
        <w:t>ROBLÈME DE DROIT </w:t>
      </w:r>
      <w:r>
        <w:rPr>
          <w:rFonts w:ascii="Arial" w:hAnsi="Arial" w:cs="Arial"/>
          <w:sz w:val="22"/>
        </w:rPr>
        <w:t xml:space="preserve">: </w:t>
      </w:r>
      <w:r w:rsidR="00DD6218">
        <w:rPr>
          <w:rFonts w:ascii="Arial" w:hAnsi="Arial" w:cs="Arial"/>
          <w:sz w:val="22"/>
        </w:rPr>
        <w:t xml:space="preserve">Partant de l’acception </w:t>
      </w:r>
      <w:r w:rsidR="007827E8">
        <w:rPr>
          <w:rFonts w:ascii="Arial" w:hAnsi="Arial" w:cs="Arial"/>
          <w:sz w:val="22"/>
        </w:rPr>
        <w:t>qu’Internet est un espace protégé par la liberté d’</w:t>
      </w:r>
      <w:r w:rsidR="00C461F5">
        <w:rPr>
          <w:rFonts w:ascii="Arial" w:hAnsi="Arial" w:cs="Arial"/>
          <w:sz w:val="22"/>
        </w:rPr>
        <w:t>exprimer des idées et de recevoir des informations,</w:t>
      </w:r>
      <w:r w:rsidR="007827E8">
        <w:rPr>
          <w:rFonts w:ascii="Arial" w:hAnsi="Arial" w:cs="Arial"/>
          <w:sz w:val="22"/>
        </w:rPr>
        <w:t xml:space="preserve"> dans quelle mesure l’accès à celui-ci peut-il être restreint par les États </w:t>
      </w:r>
      <w:r w:rsidR="008B649C">
        <w:rPr>
          <w:rFonts w:ascii="Arial" w:hAnsi="Arial" w:cs="Arial"/>
          <w:sz w:val="22"/>
        </w:rPr>
        <w:t>sans porter atteinte au</w:t>
      </w:r>
      <w:r w:rsidR="007827E8">
        <w:rPr>
          <w:rFonts w:ascii="Arial" w:hAnsi="Arial" w:cs="Arial"/>
          <w:sz w:val="22"/>
        </w:rPr>
        <w:t xml:space="preserve"> Premier amendement </w:t>
      </w:r>
      <w:r w:rsidR="007441E0">
        <w:rPr>
          <w:rFonts w:ascii="Arial" w:hAnsi="Arial" w:cs="Arial"/>
          <w:sz w:val="22"/>
        </w:rPr>
        <w:t>?</w:t>
      </w:r>
    </w:p>
    <w:p w14:paraId="7F5BEA4E" w14:textId="5AAF26C5" w:rsidR="00E92059" w:rsidRPr="00843E34" w:rsidRDefault="00E92059" w:rsidP="007441E0">
      <w:pPr>
        <w:pBdr>
          <w:top w:val="single" w:sz="4" w:space="1" w:color="auto"/>
          <w:left w:val="single" w:sz="4" w:space="4" w:color="auto"/>
          <w:bottom w:val="single" w:sz="4" w:space="1" w:color="auto"/>
          <w:right w:val="single" w:sz="4" w:space="0" w:color="auto"/>
        </w:pBdr>
        <w:spacing w:before="115"/>
        <w:jc w:val="both"/>
        <w:rPr>
          <w:rFonts w:ascii="Arial" w:hAnsi="Arial" w:cs="Arial"/>
          <w:sz w:val="22"/>
        </w:rPr>
      </w:pPr>
      <w:r>
        <w:rPr>
          <w:rFonts w:ascii="Arial" w:hAnsi="Arial" w:cs="Arial"/>
          <w:sz w:val="22"/>
        </w:rPr>
        <w:t>S</w:t>
      </w:r>
      <w:r w:rsidRPr="00D07DC1">
        <w:rPr>
          <w:rFonts w:ascii="Arial" w:hAnsi="Arial" w:cs="Arial"/>
          <w:sz w:val="21"/>
        </w:rPr>
        <w:t>OLUTION</w:t>
      </w:r>
      <w:r>
        <w:rPr>
          <w:rFonts w:ascii="Arial" w:hAnsi="Arial" w:cs="Arial"/>
          <w:sz w:val="22"/>
        </w:rPr>
        <w:t> :</w:t>
      </w:r>
      <w:r w:rsidR="005019E7">
        <w:rPr>
          <w:rFonts w:ascii="Arial" w:hAnsi="Arial" w:cs="Arial"/>
          <w:sz w:val="22"/>
        </w:rPr>
        <w:t xml:space="preserve"> La Haute juridiction précise</w:t>
      </w:r>
      <w:r w:rsidR="00DD6218">
        <w:rPr>
          <w:rFonts w:ascii="Arial" w:hAnsi="Arial" w:cs="Arial"/>
          <w:sz w:val="22"/>
        </w:rPr>
        <w:t xml:space="preserve"> deux points majeurs. Elle reconnaît la légitimité du net à être couvert par la liberté d’expression</w:t>
      </w:r>
      <w:r w:rsidR="005019E7">
        <w:rPr>
          <w:rFonts w:ascii="Arial" w:hAnsi="Arial" w:cs="Arial"/>
          <w:sz w:val="22"/>
        </w:rPr>
        <w:t xml:space="preserve"> — ce qui semblait couler de source mais n’avait pas encore été textuellement affirmé — et par conséquent l’obligation des États à faire preuve de proportionnalité lorsqu’ils limitent l’accès au réseau. La loi californienne était bien trop large, ce qui portait une atteinte illégitime aux droits du requérant. La Cour suprême invalide donc les dispositions en cause, consacrant par là-même la place grandissante du numérique dans la vie juridique. </w:t>
      </w:r>
    </w:p>
    <w:p w14:paraId="0438A0B6" w14:textId="77777777" w:rsidR="00E92059" w:rsidRDefault="00E92059" w:rsidP="00E92059">
      <w:pPr>
        <w:jc w:val="both"/>
        <w:rPr>
          <w:rFonts w:ascii="Arial" w:hAnsi="Arial" w:cs="Arial"/>
          <w:b/>
          <w:sz w:val="20"/>
        </w:rPr>
      </w:pPr>
    </w:p>
    <w:p w14:paraId="5D47FD1A" w14:textId="77777777" w:rsidR="001020C6" w:rsidRDefault="001020C6" w:rsidP="00E92059">
      <w:pPr>
        <w:jc w:val="both"/>
        <w:rPr>
          <w:rFonts w:ascii="Arial" w:hAnsi="Arial" w:cs="Arial"/>
          <w:b/>
          <w:sz w:val="20"/>
        </w:rPr>
      </w:pPr>
    </w:p>
    <w:p w14:paraId="0B7A08AA" w14:textId="77777777" w:rsidR="00E92059" w:rsidRDefault="00E92059" w:rsidP="00E92059">
      <w:pPr>
        <w:jc w:val="both"/>
        <w:rPr>
          <w:rFonts w:ascii="Arial" w:hAnsi="Arial" w:cs="Arial"/>
          <w:sz w:val="20"/>
        </w:rPr>
      </w:pPr>
      <w:r w:rsidRPr="004C2900">
        <w:rPr>
          <w:rFonts w:ascii="Arial" w:hAnsi="Arial" w:cs="Arial"/>
          <w:b/>
          <w:sz w:val="20"/>
        </w:rPr>
        <w:t>Sources </w:t>
      </w:r>
      <w:r>
        <w:rPr>
          <w:rFonts w:ascii="Arial" w:hAnsi="Arial" w:cs="Arial"/>
          <w:sz w:val="20"/>
        </w:rPr>
        <w:t xml:space="preserve">: </w:t>
      </w:r>
    </w:p>
    <w:p w14:paraId="4277ADBE" w14:textId="7BED1F98" w:rsidR="00E92059" w:rsidRDefault="00617826" w:rsidP="00E92059">
      <w:pPr>
        <w:jc w:val="both"/>
        <w:rPr>
          <w:rFonts w:ascii="Arial" w:hAnsi="Arial" w:cs="Arial"/>
          <w:sz w:val="20"/>
        </w:rPr>
      </w:pPr>
      <w:r>
        <w:rPr>
          <w:rFonts w:ascii="Arial" w:hAnsi="Arial" w:cs="Arial"/>
          <w:sz w:val="20"/>
        </w:rPr>
        <w:t xml:space="preserve">MICHELOTTI L., « L’accès aux réseaux sociaux devient un droit constitutionnel aux Etats-Unis », </w:t>
      </w:r>
      <w:r w:rsidRPr="00617826">
        <w:rPr>
          <w:rFonts w:ascii="Arial" w:hAnsi="Arial" w:cs="Arial"/>
          <w:i/>
          <w:sz w:val="20"/>
        </w:rPr>
        <w:t xml:space="preserve">Le Monde, </w:t>
      </w:r>
      <w:r>
        <w:rPr>
          <w:rFonts w:ascii="Arial" w:hAnsi="Arial" w:cs="Arial"/>
          <w:sz w:val="20"/>
        </w:rPr>
        <w:t>20 juin 2017</w:t>
      </w:r>
    </w:p>
    <w:p w14:paraId="73C164E1" w14:textId="77777777" w:rsidR="001020C6" w:rsidRDefault="001020C6" w:rsidP="00E92059">
      <w:pPr>
        <w:jc w:val="both"/>
        <w:rPr>
          <w:rFonts w:ascii="Arial" w:hAnsi="Arial" w:cs="Arial"/>
          <w:sz w:val="20"/>
        </w:rPr>
      </w:pPr>
    </w:p>
    <w:p w14:paraId="2DC5C7E8" w14:textId="77777777" w:rsidR="001020C6" w:rsidRDefault="001020C6" w:rsidP="00E92059">
      <w:pPr>
        <w:jc w:val="both"/>
        <w:rPr>
          <w:rFonts w:ascii="Arial" w:hAnsi="Arial" w:cs="Arial"/>
          <w:b/>
          <w:sz w:val="22"/>
        </w:rPr>
        <w:sectPr w:rsidR="001020C6" w:rsidSect="00A8481D">
          <w:headerReference w:type="default" r:id="rId6"/>
          <w:footerReference w:type="default" r:id="rId7"/>
          <w:pgSz w:w="11900" w:h="16840"/>
          <w:pgMar w:top="1417" w:right="1417" w:bottom="1417" w:left="1417" w:header="708" w:footer="708" w:gutter="0"/>
          <w:cols w:space="708"/>
          <w:docGrid w:linePitch="360"/>
        </w:sectPr>
      </w:pPr>
    </w:p>
    <w:p w14:paraId="4331652F" w14:textId="4CE7CD72" w:rsidR="00E92059" w:rsidRDefault="00E92059" w:rsidP="00E92059">
      <w:pPr>
        <w:jc w:val="both"/>
        <w:rPr>
          <w:rFonts w:ascii="Arial" w:hAnsi="Arial" w:cs="Arial"/>
          <w:b/>
          <w:sz w:val="22"/>
        </w:rPr>
      </w:pPr>
      <w:r>
        <w:rPr>
          <w:rFonts w:ascii="Arial" w:hAnsi="Arial" w:cs="Arial"/>
          <w:b/>
          <w:sz w:val="22"/>
        </w:rPr>
        <w:lastRenderedPageBreak/>
        <w:t>Note :</w:t>
      </w:r>
    </w:p>
    <w:p w14:paraId="59038641" w14:textId="77777777" w:rsidR="00E92059" w:rsidRPr="00843E34" w:rsidRDefault="00E92059" w:rsidP="00E92059">
      <w:pPr>
        <w:jc w:val="both"/>
        <w:rPr>
          <w:rFonts w:ascii="Arial" w:hAnsi="Arial" w:cs="Arial"/>
          <w:b/>
          <w:sz w:val="18"/>
        </w:rPr>
      </w:pPr>
    </w:p>
    <w:p w14:paraId="700111CE" w14:textId="08EFB712" w:rsidR="00A04D40" w:rsidRDefault="001020C6" w:rsidP="00E92059">
      <w:pPr>
        <w:jc w:val="both"/>
        <w:rPr>
          <w:rFonts w:ascii="Arial" w:hAnsi="Arial" w:cs="Arial"/>
          <w:sz w:val="22"/>
        </w:rPr>
      </w:pPr>
      <w:r>
        <w:rPr>
          <w:rFonts w:ascii="Arial" w:hAnsi="Arial" w:cs="Arial"/>
          <w:sz w:val="22"/>
        </w:rPr>
        <w:t>La Cour suprême des États-Unis n’a rien inventé : le Conseil</w:t>
      </w:r>
      <w:r w:rsidR="00F07A23">
        <w:rPr>
          <w:rFonts w:ascii="Arial" w:hAnsi="Arial" w:cs="Arial"/>
          <w:sz w:val="22"/>
        </w:rPr>
        <w:t xml:space="preserve"> constitutionnel français consacrait déjà le droit d’accès à Internet dans une décision du 10 juin 2009. </w:t>
      </w:r>
      <w:r w:rsidR="00C103D7">
        <w:rPr>
          <w:rFonts w:ascii="Arial" w:hAnsi="Arial" w:cs="Arial"/>
          <w:sz w:val="22"/>
        </w:rPr>
        <w:t>Il aura fallu presque dix ans au géant américain pour</w:t>
      </w:r>
      <w:r w:rsidR="00A04D40">
        <w:rPr>
          <w:rFonts w:ascii="Arial" w:hAnsi="Arial" w:cs="Arial"/>
          <w:sz w:val="22"/>
        </w:rPr>
        <w:t xml:space="preserve"> en faire autant. C</w:t>
      </w:r>
      <w:r w:rsidR="00C103D7">
        <w:rPr>
          <w:rFonts w:ascii="Arial" w:hAnsi="Arial" w:cs="Arial"/>
          <w:sz w:val="22"/>
        </w:rPr>
        <w:t xml:space="preserve">ette reconnaissance est </w:t>
      </w:r>
      <w:r w:rsidR="00A04D40">
        <w:rPr>
          <w:rFonts w:ascii="Arial" w:hAnsi="Arial" w:cs="Arial"/>
          <w:sz w:val="22"/>
        </w:rPr>
        <w:t xml:space="preserve">d’autant plus </w:t>
      </w:r>
      <w:r w:rsidR="002F2E19">
        <w:rPr>
          <w:rFonts w:ascii="Arial" w:hAnsi="Arial" w:cs="Arial"/>
          <w:sz w:val="22"/>
        </w:rPr>
        <w:t xml:space="preserve">louable </w:t>
      </w:r>
      <w:r w:rsidR="00A04D40">
        <w:rPr>
          <w:rFonts w:ascii="Arial" w:hAnsi="Arial" w:cs="Arial"/>
          <w:sz w:val="22"/>
        </w:rPr>
        <w:t>face à</w:t>
      </w:r>
      <w:r w:rsidR="002F2E19">
        <w:rPr>
          <w:rFonts w:ascii="Arial" w:hAnsi="Arial" w:cs="Arial"/>
          <w:sz w:val="22"/>
        </w:rPr>
        <w:t xml:space="preserve"> un</w:t>
      </w:r>
      <w:r w:rsidR="00A04D40">
        <w:rPr>
          <w:rFonts w:ascii="Arial" w:hAnsi="Arial" w:cs="Arial"/>
          <w:sz w:val="22"/>
        </w:rPr>
        <w:t>e société</w:t>
      </w:r>
      <w:r w:rsidR="002F2E19">
        <w:rPr>
          <w:rFonts w:ascii="Arial" w:hAnsi="Arial" w:cs="Arial"/>
          <w:sz w:val="22"/>
        </w:rPr>
        <w:t xml:space="preserve"> en </w:t>
      </w:r>
      <w:r w:rsidR="00A04D40">
        <w:rPr>
          <w:rFonts w:ascii="Arial" w:hAnsi="Arial" w:cs="Arial"/>
          <w:sz w:val="22"/>
        </w:rPr>
        <w:t xml:space="preserve">pleine </w:t>
      </w:r>
      <w:r w:rsidR="002F2E19">
        <w:rPr>
          <w:rFonts w:ascii="Arial" w:hAnsi="Arial" w:cs="Arial"/>
          <w:sz w:val="22"/>
        </w:rPr>
        <w:t xml:space="preserve">expansion numérique (I). </w:t>
      </w:r>
      <w:r w:rsidR="00A04D40">
        <w:rPr>
          <w:rFonts w:ascii="Arial" w:hAnsi="Arial" w:cs="Arial"/>
          <w:sz w:val="22"/>
        </w:rPr>
        <w:t xml:space="preserve">Pour autant, la jurisprudence en la matière n’en est qu’à ses premiers pas. La possibilité limitée pour les États de bloquer l’accès au réseau pourrait éventuellement laisser la place à de nouvelles infractions, permises par l’utilisation d’Internet. Hélas, les hésitations ne deviendront des affirmations qu’avec le temps et le renflouement de jurisprudence et de doctrine (II). </w:t>
      </w:r>
    </w:p>
    <w:p w14:paraId="6B801483" w14:textId="77777777" w:rsidR="001E1C16" w:rsidRDefault="001E1C16" w:rsidP="00E92059">
      <w:pPr>
        <w:jc w:val="both"/>
        <w:rPr>
          <w:rFonts w:ascii="Arial" w:hAnsi="Arial" w:cs="Arial"/>
          <w:sz w:val="22"/>
        </w:rPr>
      </w:pPr>
    </w:p>
    <w:p w14:paraId="2B9FC5F3" w14:textId="0E89F2C7" w:rsidR="001E1C16" w:rsidRDefault="00D042ED" w:rsidP="00E92059">
      <w:pPr>
        <w:jc w:val="both"/>
        <w:rPr>
          <w:rFonts w:ascii="Arial" w:hAnsi="Arial" w:cs="Arial"/>
          <w:b/>
          <w:sz w:val="22"/>
        </w:rPr>
      </w:pPr>
      <w:r w:rsidRPr="00A0722D">
        <w:rPr>
          <w:rFonts w:ascii="Arial" w:hAnsi="Arial" w:cs="Arial"/>
          <w:b/>
          <w:sz w:val="22"/>
        </w:rPr>
        <w:t>Une analyse tardive mais pertinente du statut d’Internet</w:t>
      </w:r>
    </w:p>
    <w:p w14:paraId="6A237E08" w14:textId="77777777" w:rsidR="00A0722D" w:rsidRDefault="00A0722D" w:rsidP="00E92059">
      <w:pPr>
        <w:jc w:val="both"/>
        <w:rPr>
          <w:rFonts w:ascii="Arial" w:hAnsi="Arial" w:cs="Arial"/>
          <w:b/>
          <w:sz w:val="22"/>
        </w:rPr>
      </w:pPr>
    </w:p>
    <w:p w14:paraId="5EF8732B" w14:textId="7DB98206" w:rsidR="00C34742" w:rsidRDefault="00BE602E" w:rsidP="00E92059">
      <w:pPr>
        <w:jc w:val="both"/>
        <w:rPr>
          <w:rFonts w:ascii="Arial" w:hAnsi="Arial" w:cs="Arial"/>
          <w:sz w:val="22"/>
        </w:rPr>
      </w:pPr>
      <w:r>
        <w:rPr>
          <w:rFonts w:ascii="Arial" w:hAnsi="Arial" w:cs="Arial"/>
          <w:sz w:val="22"/>
        </w:rPr>
        <w:t xml:space="preserve">Malgré le degré de sensibilité non négligeable du </w:t>
      </w:r>
      <w:r w:rsidR="00033412">
        <w:rPr>
          <w:rFonts w:ascii="Arial" w:hAnsi="Arial" w:cs="Arial"/>
          <w:sz w:val="22"/>
        </w:rPr>
        <w:t xml:space="preserve">au </w:t>
      </w:r>
      <w:r>
        <w:rPr>
          <w:rFonts w:ascii="Arial" w:hAnsi="Arial" w:cs="Arial"/>
          <w:sz w:val="22"/>
        </w:rPr>
        <w:t>détournement de mineur dont traite l’espèce, il est intéressant de constater que l’argumentation de la Cour suprême débute par la reconnaissance des réseaux en tant que nouveaux espaces de liberté — en ce qu’ils permettent des co</w:t>
      </w:r>
      <w:r w:rsidR="00033412">
        <w:rPr>
          <w:rFonts w:ascii="Arial" w:hAnsi="Arial" w:cs="Arial"/>
          <w:sz w:val="22"/>
        </w:rPr>
        <w:t xml:space="preserve">mmunications sur des sujets variés, </w:t>
      </w:r>
      <w:r w:rsidR="00813D42">
        <w:rPr>
          <w:rFonts w:ascii="Arial" w:hAnsi="Arial" w:cs="Arial"/>
          <w:sz w:val="22"/>
        </w:rPr>
        <w:t xml:space="preserve">des embauches professionnelles, ou des échanges politiques. Le raisonnement est tout à fait logique : partant du postulat qu’internet est une révolution dans nos vies, elle englobe alors tous les secteurs, et tout particulièrement le droit. L’émergence du droit d’accès aux réseaux en tant que liberté fondamentale </w:t>
      </w:r>
      <w:r w:rsidR="0022324C">
        <w:rPr>
          <w:rFonts w:ascii="Arial" w:hAnsi="Arial" w:cs="Arial"/>
          <w:sz w:val="22"/>
        </w:rPr>
        <w:t>entraîne</w:t>
      </w:r>
      <w:r w:rsidR="00813D42">
        <w:rPr>
          <w:rFonts w:ascii="Arial" w:hAnsi="Arial" w:cs="Arial"/>
          <w:sz w:val="22"/>
        </w:rPr>
        <w:t xml:space="preserve"> une seconde affirmation : les États sont autorisés à restreindre la liberté d’</w:t>
      </w:r>
      <w:r w:rsidR="0022324C">
        <w:rPr>
          <w:rFonts w:ascii="Arial" w:hAnsi="Arial" w:cs="Arial"/>
          <w:sz w:val="22"/>
        </w:rPr>
        <w:t>accès à internet à la condition que l’</w:t>
      </w:r>
      <w:r w:rsidR="00813D42">
        <w:rPr>
          <w:rFonts w:ascii="Arial" w:hAnsi="Arial" w:cs="Arial"/>
          <w:sz w:val="22"/>
        </w:rPr>
        <w:t>atteinte</w:t>
      </w:r>
      <w:r w:rsidR="0022324C">
        <w:rPr>
          <w:rFonts w:ascii="Arial" w:hAnsi="Arial" w:cs="Arial"/>
          <w:sz w:val="22"/>
        </w:rPr>
        <w:t xml:space="preserve"> causée à l’intéressé soit</w:t>
      </w:r>
      <w:r w:rsidR="00813D42">
        <w:rPr>
          <w:rFonts w:ascii="Arial" w:hAnsi="Arial" w:cs="Arial"/>
          <w:sz w:val="22"/>
        </w:rPr>
        <w:t xml:space="preserve"> mesurée et légitimée. La Haute juridiction ne niait en aucun cas la possibilité pour les États de « pass valid laws to protect children and other victims of sexual assault from abuse » (</w:t>
      </w:r>
      <w:r w:rsidR="00813D42">
        <w:rPr>
          <w:rFonts w:ascii="Arial" w:hAnsi="Arial" w:cs="Arial"/>
          <w:i/>
          <w:sz w:val="22"/>
        </w:rPr>
        <w:t>Ashcroft v. Free Speech Coalition, 2002</w:t>
      </w:r>
      <w:r w:rsidR="00813D42">
        <w:rPr>
          <w:rFonts w:ascii="Arial" w:hAnsi="Arial" w:cs="Arial"/>
          <w:sz w:val="22"/>
        </w:rPr>
        <w:t>)</w:t>
      </w:r>
      <w:r w:rsidR="0022324C">
        <w:rPr>
          <w:rFonts w:ascii="Arial" w:hAnsi="Arial" w:cs="Arial"/>
          <w:sz w:val="22"/>
        </w:rPr>
        <w:t xml:space="preserve">, </w:t>
      </w:r>
      <w:r w:rsidR="00813D42">
        <w:rPr>
          <w:rFonts w:ascii="Arial" w:hAnsi="Arial" w:cs="Arial"/>
          <w:sz w:val="22"/>
        </w:rPr>
        <w:t xml:space="preserve">mais en l’espèce aucune nécessité n’avait été démontrée par les instances californiennes d’interdire l’accès à tous les réseaux sociaux. </w:t>
      </w:r>
      <w:r w:rsidR="0022324C">
        <w:rPr>
          <w:rFonts w:ascii="Arial" w:hAnsi="Arial" w:cs="Arial"/>
          <w:sz w:val="22"/>
        </w:rPr>
        <w:t xml:space="preserve">Outre cette absence d’argumentation, les dispositions de la loi en cause étaient bien trop larges pour que sa validité soit retenue. Prohibant l’accès à tout réseau dès lors que celui-ci permettait la mise en relation et les échanges avec d’autres internautes, elle empêchait de fait l’utilisation de certains sites de vente en ligne tels qu’Amazon ou de recherche d’insertion professionnelle tels que LinkedIn. Or l’intégration dans la société numérique peut soutenir la volonté d’un délinquant à s’ouvrir au monde et à se repentir — ce qu’empêchaient manifestement ces mesures. Pour échapper à l’invalidation de la Cour, la loi aurait dû s’astreindre à déterminer des cas d’interdiction spécifiques, répondant à des conditions déterminées, et ne concernant </w:t>
      </w:r>
      <w:r w:rsidR="0063309F">
        <w:rPr>
          <w:rFonts w:ascii="Arial" w:hAnsi="Arial" w:cs="Arial"/>
          <w:sz w:val="22"/>
        </w:rPr>
        <w:t xml:space="preserve">que </w:t>
      </w:r>
      <w:r w:rsidR="0022324C">
        <w:rPr>
          <w:rFonts w:ascii="Arial" w:hAnsi="Arial" w:cs="Arial"/>
          <w:sz w:val="22"/>
        </w:rPr>
        <w:t xml:space="preserve">certains sites, le tout justifié par le passé criminel de la personne. Le monde numérique est trop vaste pour que son </w:t>
      </w:r>
      <w:r w:rsidR="00C34742">
        <w:rPr>
          <w:rFonts w:ascii="Arial" w:hAnsi="Arial" w:cs="Arial"/>
          <w:sz w:val="22"/>
        </w:rPr>
        <w:t>intégralité soit bloquée d’accès</w:t>
      </w:r>
      <w:r w:rsidR="0022324C">
        <w:rPr>
          <w:rFonts w:ascii="Arial" w:hAnsi="Arial" w:cs="Arial"/>
          <w:sz w:val="22"/>
        </w:rPr>
        <w:t>.</w:t>
      </w:r>
      <w:r w:rsidR="0063309F">
        <w:rPr>
          <w:rFonts w:ascii="Arial" w:hAnsi="Arial" w:cs="Arial"/>
          <w:sz w:val="22"/>
        </w:rPr>
        <w:t xml:space="preserve"> </w:t>
      </w:r>
    </w:p>
    <w:p w14:paraId="1B80B06B" w14:textId="77777777" w:rsidR="00C34742" w:rsidRDefault="00C34742" w:rsidP="00E92059">
      <w:pPr>
        <w:jc w:val="both"/>
        <w:rPr>
          <w:rFonts w:ascii="Arial" w:hAnsi="Arial" w:cs="Arial"/>
          <w:sz w:val="22"/>
        </w:rPr>
      </w:pPr>
    </w:p>
    <w:p w14:paraId="6EA6F150" w14:textId="27A8DC84" w:rsidR="00A0722D" w:rsidRPr="00813D42" w:rsidRDefault="00C34742" w:rsidP="00E92059">
      <w:pPr>
        <w:jc w:val="both"/>
        <w:rPr>
          <w:rFonts w:ascii="Arial" w:hAnsi="Arial" w:cs="Arial"/>
          <w:sz w:val="22"/>
        </w:rPr>
      </w:pPr>
      <w:r>
        <w:rPr>
          <w:rFonts w:ascii="Arial" w:hAnsi="Arial" w:cs="Arial"/>
          <w:b/>
          <w:sz w:val="22"/>
        </w:rPr>
        <w:t xml:space="preserve">Une analyse risquée </w:t>
      </w:r>
      <w:r w:rsidR="0063309F">
        <w:rPr>
          <w:rFonts w:ascii="Arial" w:hAnsi="Arial" w:cs="Arial"/>
          <w:b/>
          <w:sz w:val="22"/>
        </w:rPr>
        <w:t>mais réaliste du statut d’Internet</w:t>
      </w:r>
      <w:r w:rsidR="0022324C">
        <w:rPr>
          <w:rFonts w:ascii="Arial" w:hAnsi="Arial" w:cs="Arial"/>
          <w:sz w:val="22"/>
        </w:rPr>
        <w:t xml:space="preserve"> </w:t>
      </w:r>
    </w:p>
    <w:p w14:paraId="1660749C" w14:textId="77777777" w:rsidR="00813D42" w:rsidRDefault="00813D42" w:rsidP="00E92059">
      <w:pPr>
        <w:jc w:val="both"/>
        <w:rPr>
          <w:rFonts w:ascii="Arial" w:hAnsi="Arial" w:cs="Arial"/>
          <w:sz w:val="22"/>
        </w:rPr>
      </w:pPr>
    </w:p>
    <w:p w14:paraId="106CE0C7" w14:textId="616B7DC4" w:rsidR="006F69A8" w:rsidRPr="006F69A8" w:rsidRDefault="0063309F" w:rsidP="00E92059">
      <w:pPr>
        <w:jc w:val="both"/>
        <w:rPr>
          <w:rFonts w:ascii="Arial" w:hAnsi="Arial" w:cs="Arial"/>
          <w:sz w:val="20"/>
        </w:rPr>
      </w:pPr>
      <w:r>
        <w:rPr>
          <w:rFonts w:ascii="Arial" w:hAnsi="Arial" w:cs="Arial"/>
          <w:sz w:val="22"/>
        </w:rPr>
        <w:t>Bien que la Cour reconnai</w:t>
      </w:r>
      <w:r w:rsidR="006B7DB6">
        <w:rPr>
          <w:rFonts w:ascii="Arial" w:hAnsi="Arial" w:cs="Arial"/>
          <w:sz w:val="22"/>
        </w:rPr>
        <w:t xml:space="preserve">sse </w:t>
      </w:r>
      <w:r w:rsidR="00596E78">
        <w:rPr>
          <w:rFonts w:ascii="Arial" w:hAnsi="Arial" w:cs="Arial"/>
          <w:sz w:val="22"/>
        </w:rPr>
        <w:t>le caractère fondamental du droit d’accès aux réseaux sociaux — leur importance dans nos vies ne pouvant être déniée —</w:t>
      </w:r>
      <w:r>
        <w:rPr>
          <w:rFonts w:ascii="Arial" w:hAnsi="Arial" w:cs="Arial"/>
          <w:sz w:val="22"/>
        </w:rPr>
        <w:t xml:space="preserve"> elle n’établit pas pour autant de conditions précises dans lesquelles un État peut limiter l’accès à Internet, ni d</w:t>
      </w:r>
      <w:r w:rsidR="006C46BE">
        <w:rPr>
          <w:rFonts w:ascii="Arial" w:hAnsi="Arial" w:cs="Arial"/>
          <w:sz w:val="22"/>
        </w:rPr>
        <w:t xml:space="preserve">e critères de proportionnalité pour en mesurer la légitimité. </w:t>
      </w:r>
      <w:r w:rsidR="004E3EC0">
        <w:rPr>
          <w:rFonts w:ascii="Arial" w:hAnsi="Arial" w:cs="Arial"/>
          <w:sz w:val="22"/>
        </w:rPr>
        <w:t xml:space="preserve">La Cour entérine simplement l’idée selon laquelle on ne peut priver un criminel de sa liberté d’expression, mais plutôt lui défendre certains actes précis où celle-ci sera moins primordiale face aux intérêts de l’État. </w:t>
      </w:r>
      <w:r w:rsidR="002C0579">
        <w:rPr>
          <w:rFonts w:ascii="Arial" w:hAnsi="Arial" w:cs="Arial"/>
          <w:sz w:val="22"/>
        </w:rPr>
        <w:t xml:space="preserve">Ainsi chaque interdiction devrait être posée en fonction du </w:t>
      </w:r>
      <w:r w:rsidR="006D5DB9">
        <w:rPr>
          <w:rFonts w:ascii="Arial" w:hAnsi="Arial" w:cs="Arial"/>
          <w:sz w:val="22"/>
        </w:rPr>
        <w:t xml:space="preserve">cas étudié, ce qui rendrait la délimitation des infractions complexe. </w:t>
      </w:r>
      <w:r w:rsidR="00D66243">
        <w:rPr>
          <w:rFonts w:ascii="Arial" w:hAnsi="Arial" w:cs="Arial"/>
          <w:sz w:val="22"/>
        </w:rPr>
        <w:t>L’effec</w:t>
      </w:r>
      <w:r w:rsidR="00D358F3">
        <w:rPr>
          <w:rFonts w:ascii="Arial" w:hAnsi="Arial" w:cs="Arial"/>
          <w:sz w:val="22"/>
        </w:rPr>
        <w:t>tivité de</w:t>
      </w:r>
      <w:r w:rsidR="007D6F6A">
        <w:rPr>
          <w:rFonts w:ascii="Arial" w:hAnsi="Arial" w:cs="Arial"/>
          <w:sz w:val="22"/>
        </w:rPr>
        <w:t xml:space="preserve"> telles dispositions serait d’autant plus ardue à mettre en œuvre </w:t>
      </w:r>
      <w:r w:rsidR="009D25AF">
        <w:rPr>
          <w:rFonts w:ascii="Arial" w:hAnsi="Arial" w:cs="Arial"/>
          <w:sz w:val="22"/>
        </w:rPr>
        <w:t xml:space="preserve">puisque la surveillance des réseaux est une tâche de grande envergure que les États ne maitrisent encore que peu. </w:t>
      </w:r>
      <w:r w:rsidR="008B3699">
        <w:rPr>
          <w:rFonts w:ascii="Arial" w:hAnsi="Arial" w:cs="Arial"/>
          <w:sz w:val="22"/>
        </w:rPr>
        <w:t xml:space="preserve">La reconnaissance de ce droit d’accès était donc </w:t>
      </w:r>
      <w:r w:rsidR="006F69A8">
        <w:rPr>
          <w:rFonts w:ascii="Arial" w:hAnsi="Arial" w:cs="Arial"/>
          <w:sz w:val="22"/>
        </w:rPr>
        <w:t>constructive</w:t>
      </w:r>
      <w:r w:rsidR="008B3699">
        <w:rPr>
          <w:rFonts w:ascii="Arial" w:hAnsi="Arial" w:cs="Arial"/>
          <w:sz w:val="22"/>
        </w:rPr>
        <w:t xml:space="preserve">, mais elle </w:t>
      </w:r>
      <w:r w:rsidR="006F69A8">
        <w:rPr>
          <w:rFonts w:ascii="Arial" w:hAnsi="Arial" w:cs="Arial"/>
          <w:sz w:val="22"/>
        </w:rPr>
        <w:t xml:space="preserve">attendra des précisions jurisprudentielles pour en affiner les contours. </w:t>
      </w:r>
    </w:p>
    <w:p w14:paraId="68F80E98" w14:textId="409DA502" w:rsidR="006B7DB6" w:rsidRDefault="006B7DB6" w:rsidP="006B7DB6">
      <w:pPr>
        <w:jc w:val="right"/>
        <w:rPr>
          <w:rFonts w:ascii="Arial" w:hAnsi="Arial" w:cs="Arial"/>
          <w:sz w:val="22"/>
        </w:rPr>
      </w:pPr>
      <w:r>
        <w:rPr>
          <w:rFonts w:ascii="Arial" w:hAnsi="Arial" w:cs="Arial"/>
          <w:sz w:val="22"/>
        </w:rPr>
        <w:t>Bettina Bordure</w:t>
      </w:r>
    </w:p>
    <w:p w14:paraId="0F54BB2F" w14:textId="1C9AC20C" w:rsidR="006B7DB6" w:rsidRDefault="006B7DB6" w:rsidP="006B7DB6">
      <w:pPr>
        <w:jc w:val="right"/>
        <w:rPr>
          <w:rFonts w:ascii="Arial" w:hAnsi="Arial" w:cs="Arial"/>
          <w:sz w:val="16"/>
        </w:rPr>
      </w:pPr>
      <w:r>
        <w:rPr>
          <w:rFonts w:ascii="Arial" w:hAnsi="Arial" w:cs="Arial"/>
          <w:sz w:val="16"/>
        </w:rPr>
        <w:t>Master 2 Droit des médias et des télécommunications</w:t>
      </w:r>
    </w:p>
    <w:p w14:paraId="7AD01AA2" w14:textId="2F2EFBB7" w:rsidR="006B7DB6" w:rsidRPr="006B7DB6" w:rsidRDefault="006B7DB6" w:rsidP="006B7DB6">
      <w:pPr>
        <w:jc w:val="right"/>
        <w:rPr>
          <w:rFonts w:ascii="Arial" w:hAnsi="Arial" w:cs="Arial"/>
          <w:sz w:val="16"/>
        </w:rPr>
      </w:pPr>
      <w:r>
        <w:rPr>
          <w:rFonts w:ascii="Arial" w:hAnsi="Arial" w:cs="Arial"/>
          <w:sz w:val="16"/>
        </w:rPr>
        <w:t>AIX-MARS</w:t>
      </w:r>
      <w:r w:rsidR="006D5DB9">
        <w:rPr>
          <w:rFonts w:ascii="Arial" w:hAnsi="Arial" w:cs="Arial"/>
          <w:sz w:val="16"/>
        </w:rPr>
        <w:t>EILLE UNIVERSITÉ LID2MS-</w:t>
      </w:r>
      <w:r>
        <w:rPr>
          <w:rFonts w:ascii="Arial" w:hAnsi="Arial" w:cs="Arial"/>
          <w:sz w:val="16"/>
        </w:rPr>
        <w:t xml:space="preserve"> IREDIC</w:t>
      </w:r>
    </w:p>
    <w:p w14:paraId="2E4530FE" w14:textId="77777777" w:rsidR="00A04D40" w:rsidRDefault="00A04D40" w:rsidP="00E92059">
      <w:pPr>
        <w:jc w:val="both"/>
        <w:rPr>
          <w:rFonts w:ascii="Arial" w:hAnsi="Arial" w:cs="Arial"/>
          <w:sz w:val="22"/>
        </w:rPr>
      </w:pPr>
    </w:p>
    <w:p w14:paraId="6F4EF41E" w14:textId="63BD97CC" w:rsidR="00A04D40" w:rsidRDefault="006F69A8" w:rsidP="00E92059">
      <w:pPr>
        <w:jc w:val="both"/>
        <w:rPr>
          <w:rFonts w:ascii="Arial" w:hAnsi="Arial" w:cs="Arial"/>
          <w:b/>
          <w:sz w:val="22"/>
        </w:rPr>
      </w:pPr>
      <w:r>
        <w:rPr>
          <w:rFonts w:ascii="Arial" w:hAnsi="Arial" w:cs="Arial"/>
          <w:b/>
          <w:sz w:val="22"/>
        </w:rPr>
        <w:t xml:space="preserve">Arrêt : </w:t>
      </w:r>
    </w:p>
    <w:p w14:paraId="6FF68696" w14:textId="77777777" w:rsidR="006F69A8" w:rsidRDefault="006F69A8" w:rsidP="00E92059">
      <w:pPr>
        <w:jc w:val="both"/>
        <w:rPr>
          <w:rFonts w:ascii="Arial" w:hAnsi="Arial" w:cs="Arial"/>
          <w:b/>
          <w:sz w:val="22"/>
        </w:rPr>
      </w:pPr>
    </w:p>
    <w:p w14:paraId="4C431F00" w14:textId="648AADF6" w:rsidR="006F69A8" w:rsidRDefault="006F69A8" w:rsidP="006F69A8">
      <w:pPr>
        <w:jc w:val="both"/>
        <w:rPr>
          <w:rFonts w:ascii="Arial" w:hAnsi="Arial" w:cs="Arial"/>
          <w:i/>
          <w:sz w:val="22"/>
        </w:rPr>
      </w:pPr>
      <w:r w:rsidRPr="006F69A8">
        <w:rPr>
          <w:rFonts w:ascii="Arial" w:hAnsi="Arial" w:cs="Arial"/>
          <w:i/>
          <w:sz w:val="22"/>
        </w:rPr>
        <w:t xml:space="preserve">Cour suprême des États-Unis, 19 juin 2017, </w:t>
      </w:r>
      <w:r w:rsidRPr="006F69A8">
        <w:rPr>
          <w:rFonts w:ascii="Arial" w:hAnsi="Arial" w:cs="Arial"/>
          <w:sz w:val="22"/>
        </w:rPr>
        <w:t>Packingham v. North Carolina</w:t>
      </w:r>
      <w:r w:rsidRPr="006F69A8">
        <w:rPr>
          <w:rFonts w:ascii="Arial" w:hAnsi="Arial" w:cs="Arial"/>
          <w:i/>
          <w:sz w:val="22"/>
        </w:rPr>
        <w:t>, n°15–1194</w:t>
      </w:r>
    </w:p>
    <w:p w14:paraId="37409321" w14:textId="77777777" w:rsidR="006F69A8" w:rsidRDefault="006F69A8" w:rsidP="006F69A8">
      <w:pPr>
        <w:jc w:val="both"/>
        <w:rPr>
          <w:rFonts w:ascii="Arial" w:hAnsi="Arial" w:cs="Arial"/>
          <w:i/>
          <w:sz w:val="22"/>
        </w:rPr>
      </w:pPr>
    </w:p>
    <w:p w14:paraId="6413311C" w14:textId="190F8E6E" w:rsidR="00955E84" w:rsidRPr="00297EEB" w:rsidRDefault="00955E84" w:rsidP="00955E84">
      <w:pPr>
        <w:jc w:val="both"/>
        <w:rPr>
          <w:rFonts w:ascii="Arial" w:hAnsi="Arial" w:cs="Arial"/>
          <w:sz w:val="22"/>
          <w:lang w:val="en-GB"/>
        </w:rPr>
      </w:pPr>
      <w:r w:rsidRPr="00297EEB">
        <w:rPr>
          <w:rFonts w:ascii="Arial" w:hAnsi="Arial" w:cs="Arial"/>
          <w:sz w:val="22"/>
          <w:lang w:val="en-GB"/>
        </w:rPr>
        <w:t>In 2008, North Carolina enacted a statute making it a felony for a registered sex offender to gain access to a number of websites, including commonplace social media websites like Facebook and Twitter. The question pre- sented is whether that law is permissible under the First Amendment’s Free Speech Clause, applicable to the States under the Due Process Clause of the Fourteenth Amendment. […]</w:t>
      </w:r>
    </w:p>
    <w:p w14:paraId="43592DE2" w14:textId="77777777" w:rsidR="006F69A8" w:rsidRPr="00297EEB" w:rsidRDefault="006F69A8" w:rsidP="006F69A8">
      <w:pPr>
        <w:jc w:val="both"/>
        <w:rPr>
          <w:rFonts w:ascii="Arial" w:hAnsi="Arial" w:cs="Arial"/>
          <w:sz w:val="22"/>
          <w:lang w:val="en-GB"/>
        </w:rPr>
      </w:pPr>
    </w:p>
    <w:p w14:paraId="10A857B2" w14:textId="77777777" w:rsidR="001A52F4" w:rsidRPr="00297EEB" w:rsidRDefault="001A52F4" w:rsidP="001A52F4">
      <w:pPr>
        <w:jc w:val="both"/>
        <w:rPr>
          <w:rFonts w:ascii="Arial" w:hAnsi="Arial" w:cs="Arial"/>
          <w:sz w:val="22"/>
          <w:lang w:val="en-GB"/>
        </w:rPr>
      </w:pPr>
      <w:r w:rsidRPr="00297EEB">
        <w:rPr>
          <w:rFonts w:ascii="Arial" w:hAnsi="Arial" w:cs="Arial"/>
          <w:sz w:val="22"/>
          <w:lang w:val="en-GB"/>
        </w:rPr>
        <w:t xml:space="preserve">A fundamental principle of the First Amendment is that all persons have access to places where they can speak and listen, and then, after reflection, speak and listen once more. The Court has sought to protect the right to speak in this spatial context. A basic rule, for example, is that a street or a park is a quintessential forum for the exercise of First Amendment rights. See </w:t>
      </w:r>
      <w:r w:rsidRPr="00297EEB">
        <w:rPr>
          <w:rFonts w:ascii="Arial" w:hAnsi="Arial" w:cs="Arial"/>
          <w:i/>
          <w:iCs/>
          <w:sz w:val="22"/>
          <w:lang w:val="en-GB"/>
        </w:rPr>
        <w:t xml:space="preserve">Ward </w:t>
      </w:r>
      <w:r w:rsidRPr="00297EEB">
        <w:rPr>
          <w:rFonts w:ascii="Arial" w:hAnsi="Arial" w:cs="Arial"/>
          <w:sz w:val="22"/>
          <w:lang w:val="en-GB"/>
        </w:rPr>
        <w:t xml:space="preserve">v. </w:t>
      </w:r>
      <w:r w:rsidRPr="00297EEB">
        <w:rPr>
          <w:rFonts w:ascii="Arial" w:hAnsi="Arial" w:cs="Arial"/>
          <w:i/>
          <w:iCs/>
          <w:sz w:val="22"/>
          <w:lang w:val="en-GB"/>
        </w:rPr>
        <w:t>Rock Against Racism</w:t>
      </w:r>
      <w:r w:rsidRPr="00297EEB">
        <w:rPr>
          <w:rFonts w:ascii="Arial" w:hAnsi="Arial" w:cs="Arial"/>
          <w:sz w:val="22"/>
          <w:lang w:val="en-GB"/>
        </w:rPr>
        <w:t xml:space="preserve">, 491 U. S. 781, 796 (1989). Even in the modern era, these places are still essential venues for public gath- erings to celebrate some views, to protest others, or simply to learn and inquire. </w:t>
      </w:r>
    </w:p>
    <w:p w14:paraId="2B9AD3E1" w14:textId="77777777" w:rsidR="001A52F4" w:rsidRPr="00297EEB" w:rsidRDefault="001A52F4" w:rsidP="001A52F4">
      <w:pPr>
        <w:jc w:val="both"/>
        <w:rPr>
          <w:rFonts w:ascii="Arial" w:hAnsi="Arial" w:cs="Arial"/>
          <w:sz w:val="22"/>
          <w:lang w:val="en-GB"/>
        </w:rPr>
      </w:pPr>
      <w:r w:rsidRPr="00297EEB">
        <w:rPr>
          <w:rFonts w:ascii="Arial" w:hAnsi="Arial" w:cs="Arial"/>
          <w:sz w:val="22"/>
          <w:lang w:val="en-GB"/>
        </w:rPr>
        <w:t xml:space="preserve">While in the past there may have been difficulty in identifying the most important places (in a spatial sense) for the exchange of views, today the answer is clear. It is cyberspace—the “vast democratic forums of the Internet” in general, </w:t>
      </w:r>
      <w:r w:rsidRPr="00297EEB">
        <w:rPr>
          <w:rFonts w:ascii="Arial" w:hAnsi="Arial" w:cs="Arial"/>
          <w:i/>
          <w:iCs/>
          <w:sz w:val="22"/>
          <w:lang w:val="en-GB"/>
        </w:rPr>
        <w:t xml:space="preserve">Reno </w:t>
      </w:r>
      <w:r w:rsidRPr="00297EEB">
        <w:rPr>
          <w:rFonts w:ascii="Arial" w:hAnsi="Arial" w:cs="Arial"/>
          <w:sz w:val="22"/>
          <w:lang w:val="en-GB"/>
        </w:rPr>
        <w:t xml:space="preserve">v. </w:t>
      </w:r>
      <w:r w:rsidRPr="00297EEB">
        <w:rPr>
          <w:rFonts w:ascii="Arial" w:hAnsi="Arial" w:cs="Arial"/>
          <w:i/>
          <w:iCs/>
          <w:sz w:val="22"/>
          <w:lang w:val="en-GB"/>
        </w:rPr>
        <w:t>American Civil Liberties Union</w:t>
      </w:r>
      <w:r w:rsidRPr="00297EEB">
        <w:rPr>
          <w:rFonts w:ascii="Arial" w:hAnsi="Arial" w:cs="Arial"/>
          <w:sz w:val="22"/>
          <w:lang w:val="en-GB"/>
        </w:rPr>
        <w:t xml:space="preserve">, 521 U. S. 844, 868 (1997), and social media in particular. Seven in ten American adults use at least one Internet social networking service. Brief for Electronic Frontier Foundation et al. as </w:t>
      </w:r>
      <w:r w:rsidRPr="00297EEB">
        <w:rPr>
          <w:rFonts w:ascii="Arial" w:hAnsi="Arial" w:cs="Arial"/>
          <w:i/>
          <w:iCs/>
          <w:sz w:val="22"/>
          <w:lang w:val="en-GB"/>
        </w:rPr>
        <w:t xml:space="preserve">Amici Curiae </w:t>
      </w:r>
      <w:r w:rsidRPr="00297EEB">
        <w:rPr>
          <w:rFonts w:ascii="Arial" w:hAnsi="Arial" w:cs="Arial"/>
          <w:sz w:val="22"/>
          <w:lang w:val="en-GB"/>
        </w:rPr>
        <w:t xml:space="preserve">5–6. One of the most popular of these sites is Facebook, the site used by peti- tioner leading to his conviction in this case. According to sources cited to the Court in this case, Facebook has 1.79 billion active users. </w:t>
      </w:r>
      <w:r w:rsidRPr="00297EEB">
        <w:rPr>
          <w:rFonts w:ascii="Arial" w:hAnsi="Arial" w:cs="Arial"/>
          <w:i/>
          <w:iCs/>
          <w:sz w:val="22"/>
          <w:lang w:val="en-GB"/>
        </w:rPr>
        <w:t xml:space="preserve">Id., </w:t>
      </w:r>
      <w:r w:rsidRPr="00297EEB">
        <w:rPr>
          <w:rFonts w:ascii="Arial" w:hAnsi="Arial" w:cs="Arial"/>
          <w:sz w:val="22"/>
          <w:lang w:val="en-GB"/>
        </w:rPr>
        <w:t>at 6. This is about three times the population of North America. […]</w:t>
      </w:r>
    </w:p>
    <w:p w14:paraId="3042ACD7" w14:textId="745876E4" w:rsidR="001A52F4" w:rsidRPr="00297EEB" w:rsidRDefault="001A52F4" w:rsidP="006F69A8">
      <w:pPr>
        <w:jc w:val="both"/>
        <w:rPr>
          <w:rFonts w:ascii="Arial" w:hAnsi="Arial" w:cs="Arial"/>
          <w:sz w:val="22"/>
          <w:lang w:val="en-GB"/>
        </w:rPr>
      </w:pPr>
    </w:p>
    <w:p w14:paraId="508A703B" w14:textId="717FE99F" w:rsidR="001A52F4" w:rsidRPr="00297EEB" w:rsidRDefault="001A52F4" w:rsidP="001A52F4">
      <w:pPr>
        <w:jc w:val="both"/>
        <w:rPr>
          <w:rFonts w:ascii="Arial" w:hAnsi="Arial" w:cs="Arial"/>
          <w:sz w:val="22"/>
          <w:lang w:val="en-GB"/>
        </w:rPr>
      </w:pPr>
      <w:r w:rsidRPr="00297EEB">
        <w:rPr>
          <w:rFonts w:ascii="Arial" w:hAnsi="Arial" w:cs="Arial"/>
          <w:sz w:val="22"/>
          <w:lang w:val="en-GB"/>
        </w:rPr>
        <w:t xml:space="preserve">Even with these assumptions about the scope of the law and the State’s interest, the statute here enacts a prohibi- tion unprecedented in the scope of First Amendment speech it burdens. Social media allows users to gain access to information and communicate with one another about it on any subject that might come to mind. </w:t>
      </w:r>
      <w:r w:rsidRPr="00297EEB">
        <w:rPr>
          <w:rFonts w:ascii="Arial" w:hAnsi="Arial" w:cs="Arial"/>
          <w:i/>
          <w:iCs/>
          <w:sz w:val="22"/>
          <w:lang w:val="en-GB"/>
        </w:rPr>
        <w:t xml:space="preserve">Supra, </w:t>
      </w:r>
      <w:r w:rsidRPr="00297EEB">
        <w:rPr>
          <w:rFonts w:ascii="Arial" w:hAnsi="Arial" w:cs="Arial"/>
          <w:sz w:val="22"/>
          <w:lang w:val="en-GB"/>
        </w:rPr>
        <w:t xml:space="preserve">at 5. By prohibiting sex offenders from using those web- sites, North Carolina with one broad stroke bars access to what for many are the principal sources for knowing cur- rent events, checking ads for employment, speaking and listening in the modern public square, and otherwise exploring the vast realms of human thought and knowledge. </w:t>
      </w:r>
      <w:r w:rsidR="00297EEB" w:rsidRPr="00297EEB">
        <w:rPr>
          <w:rFonts w:ascii="Arial" w:hAnsi="Arial" w:cs="Arial"/>
          <w:sz w:val="22"/>
          <w:lang w:val="en-GB"/>
        </w:rPr>
        <w:t>[…]</w:t>
      </w:r>
    </w:p>
    <w:p w14:paraId="5D1780C5" w14:textId="3D7029B1" w:rsidR="00297EEB" w:rsidRPr="00297EEB" w:rsidRDefault="00297EEB" w:rsidP="00297EEB">
      <w:pPr>
        <w:jc w:val="both"/>
        <w:rPr>
          <w:rFonts w:ascii="Arial" w:hAnsi="Arial" w:cs="Arial"/>
          <w:sz w:val="22"/>
          <w:lang w:val="en-GB"/>
        </w:rPr>
      </w:pPr>
    </w:p>
    <w:p w14:paraId="6618E456" w14:textId="213B1AA9" w:rsidR="00297EEB" w:rsidRPr="00297EEB" w:rsidRDefault="00297EEB" w:rsidP="00297EEB">
      <w:pPr>
        <w:jc w:val="both"/>
        <w:rPr>
          <w:rFonts w:ascii="Arial" w:hAnsi="Arial" w:cs="Arial"/>
          <w:sz w:val="22"/>
          <w:lang w:val="en-GB"/>
        </w:rPr>
      </w:pPr>
      <w:r w:rsidRPr="00297EEB">
        <w:rPr>
          <w:rFonts w:ascii="Arial" w:hAnsi="Arial" w:cs="Arial"/>
          <w:sz w:val="22"/>
          <w:lang w:val="en-GB"/>
        </w:rPr>
        <w:t xml:space="preserve">The better analogy to this case is </w:t>
      </w:r>
      <w:r w:rsidRPr="00297EEB">
        <w:rPr>
          <w:rFonts w:ascii="Arial" w:hAnsi="Arial" w:cs="Arial"/>
          <w:i/>
          <w:iCs/>
          <w:sz w:val="22"/>
          <w:lang w:val="en-GB"/>
        </w:rPr>
        <w:t xml:space="preserve">Board of Airport Comm’rs of Los Angeles </w:t>
      </w:r>
      <w:r w:rsidRPr="00297EEB">
        <w:rPr>
          <w:rFonts w:ascii="Arial" w:hAnsi="Arial" w:cs="Arial"/>
          <w:sz w:val="22"/>
          <w:lang w:val="en-GB"/>
        </w:rPr>
        <w:t xml:space="preserve">v. </w:t>
      </w:r>
      <w:r w:rsidRPr="00297EEB">
        <w:rPr>
          <w:rFonts w:ascii="Arial" w:hAnsi="Arial" w:cs="Arial"/>
          <w:i/>
          <w:iCs/>
          <w:sz w:val="22"/>
          <w:lang w:val="en-GB"/>
        </w:rPr>
        <w:t>Jews for Jesus, Inc.</w:t>
      </w:r>
      <w:r w:rsidRPr="00297EEB">
        <w:rPr>
          <w:rFonts w:ascii="Arial" w:hAnsi="Arial" w:cs="Arial"/>
          <w:sz w:val="22"/>
          <w:lang w:val="en-GB"/>
        </w:rPr>
        <w:t xml:space="preserve">, 482 U. S. 569 (1987), where the Court struck down an ordinance prohibiting any “First Amendment activities” at Los Ange- les International Airport because the ordinance covered all manner of protected, nondisruptive behavior including “talking and reading, or the wearing of campaign buttons or symbolic clothing,” </w:t>
      </w:r>
      <w:r w:rsidRPr="00297EEB">
        <w:rPr>
          <w:rFonts w:ascii="Arial" w:hAnsi="Arial" w:cs="Arial"/>
          <w:i/>
          <w:iCs/>
          <w:sz w:val="22"/>
          <w:lang w:val="en-GB"/>
        </w:rPr>
        <w:t xml:space="preserve">id., </w:t>
      </w:r>
      <w:r w:rsidRPr="00297EEB">
        <w:rPr>
          <w:rFonts w:ascii="Arial" w:hAnsi="Arial" w:cs="Arial"/>
          <w:sz w:val="22"/>
          <w:lang w:val="en-GB"/>
        </w:rPr>
        <w:t xml:space="preserve">at 571, 575. If a law prohibiting “all protected expression” at a single airport is not consti- tutional, </w:t>
      </w:r>
      <w:r w:rsidRPr="00297EEB">
        <w:rPr>
          <w:rFonts w:ascii="Arial" w:hAnsi="Arial" w:cs="Arial"/>
          <w:i/>
          <w:iCs/>
          <w:sz w:val="22"/>
          <w:lang w:val="en-GB"/>
        </w:rPr>
        <w:t>id.</w:t>
      </w:r>
      <w:r w:rsidRPr="00297EEB">
        <w:rPr>
          <w:rFonts w:ascii="Arial" w:hAnsi="Arial" w:cs="Arial"/>
          <w:sz w:val="22"/>
          <w:lang w:val="en-GB"/>
        </w:rPr>
        <w:t xml:space="preserve">, at 574 (emphasis deleted), it follows with even greater force that the State may not enact this com- plete bar to the exercise of First Amendment rights on websites integral to the fabric of our modern society and culture. </w:t>
      </w:r>
      <w:r w:rsidRPr="00297EEB">
        <w:rPr>
          <w:rFonts w:ascii="Arial" w:hAnsi="Arial" w:cs="Arial"/>
          <w:sz w:val="22"/>
          <w:lang w:val="en-GB"/>
        </w:rPr>
        <w:br/>
        <w:t xml:space="preserve">It is well established that, as a general rule, the Government “may not suppress lawful speech as the means to suppress unlawful speech.” </w:t>
      </w:r>
      <w:r w:rsidRPr="00297EEB">
        <w:rPr>
          <w:rFonts w:ascii="Arial" w:hAnsi="Arial" w:cs="Arial"/>
          <w:i/>
          <w:iCs/>
          <w:sz w:val="22"/>
          <w:lang w:val="en-GB"/>
        </w:rPr>
        <w:t xml:space="preserve">Ashcroft </w:t>
      </w:r>
      <w:r w:rsidRPr="00297EEB">
        <w:rPr>
          <w:rFonts w:ascii="Arial" w:hAnsi="Arial" w:cs="Arial"/>
          <w:sz w:val="22"/>
          <w:lang w:val="en-GB"/>
        </w:rPr>
        <w:t xml:space="preserve">v. </w:t>
      </w:r>
      <w:r w:rsidRPr="00297EEB">
        <w:rPr>
          <w:rFonts w:ascii="Arial" w:hAnsi="Arial" w:cs="Arial"/>
          <w:i/>
          <w:iCs/>
          <w:sz w:val="22"/>
          <w:lang w:val="en-GB"/>
        </w:rPr>
        <w:t>Free Speech Coali- tion</w:t>
      </w:r>
      <w:r w:rsidRPr="00297EEB">
        <w:rPr>
          <w:rFonts w:ascii="Arial" w:hAnsi="Arial" w:cs="Arial"/>
          <w:sz w:val="22"/>
          <w:lang w:val="en-GB"/>
        </w:rPr>
        <w:t xml:space="preserve">, 535 U. S., at 255. That is what North Carolina has done here. Its law must be held invalid. </w:t>
      </w:r>
    </w:p>
    <w:p w14:paraId="7226510F" w14:textId="77777777" w:rsidR="00297EEB" w:rsidRPr="00297EEB" w:rsidRDefault="00297EEB" w:rsidP="00297EEB">
      <w:pPr>
        <w:jc w:val="both"/>
        <w:rPr>
          <w:rFonts w:ascii="Arial" w:hAnsi="Arial" w:cs="Arial"/>
          <w:sz w:val="22"/>
          <w:lang w:val="en-GB"/>
        </w:rPr>
      </w:pPr>
    </w:p>
    <w:p w14:paraId="1997C677" w14:textId="4300A203" w:rsidR="00E92059" w:rsidRPr="00297EEB" w:rsidRDefault="00297EEB" w:rsidP="00297EEB">
      <w:pPr>
        <w:jc w:val="both"/>
        <w:rPr>
          <w:rFonts w:ascii="Arial" w:hAnsi="Arial" w:cs="Arial"/>
          <w:sz w:val="22"/>
          <w:lang w:val="en-GB"/>
        </w:rPr>
        <w:sectPr w:rsidR="00E92059" w:rsidRPr="00297EEB" w:rsidSect="001020C6">
          <w:type w:val="continuous"/>
          <w:pgSz w:w="11900" w:h="16840"/>
          <w:pgMar w:top="1417" w:right="1417" w:bottom="1417" w:left="1417" w:header="708" w:footer="708" w:gutter="0"/>
          <w:cols w:num="2" w:space="708"/>
          <w:docGrid w:linePitch="360"/>
        </w:sectPr>
      </w:pPr>
      <w:r w:rsidRPr="00297EEB">
        <w:rPr>
          <w:rFonts w:ascii="Arial" w:hAnsi="Arial" w:cs="Arial"/>
          <w:sz w:val="22"/>
          <w:lang w:val="en-GB"/>
        </w:rPr>
        <w:t xml:space="preserve">The judgment of the North Carolina Supreme Court is reversed, and the case is remanded for further proceedings not inconsistent with this opinion. </w:t>
      </w:r>
    </w:p>
    <w:p w14:paraId="3BE8BD00" w14:textId="77777777" w:rsidR="00E92059" w:rsidRPr="000A4DB7" w:rsidRDefault="00E92059">
      <w:pPr>
        <w:rPr>
          <w:rFonts w:ascii="Times New Roman" w:hAnsi="Times New Roman" w:cs="Times New Roman"/>
          <w:lang w:val="en-US"/>
        </w:rPr>
      </w:pPr>
    </w:p>
    <w:sectPr w:rsidR="00E92059" w:rsidRPr="000A4DB7" w:rsidSect="001020C6">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C294" w14:textId="77777777" w:rsidR="00F6132D" w:rsidRDefault="00F6132D" w:rsidP="001020C6">
      <w:r>
        <w:separator/>
      </w:r>
    </w:p>
  </w:endnote>
  <w:endnote w:type="continuationSeparator" w:id="0">
    <w:p w14:paraId="2C1AC8BD" w14:textId="77777777" w:rsidR="00F6132D" w:rsidRDefault="00F6132D" w:rsidP="001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CFDA" w14:textId="77777777" w:rsidR="005908DE" w:rsidRDefault="00300CD2" w:rsidP="005908DE">
    <w:pPr>
      <w:widowControl w:val="0"/>
      <w:autoSpaceDE w:val="0"/>
      <w:autoSpaceDN w:val="0"/>
      <w:adjustRightInd w:val="0"/>
      <w:spacing w:line="400" w:lineRule="atLeast"/>
      <w:jc w:val="center"/>
      <w:rPr>
        <w:rFonts w:ascii="Arial" w:hAnsi="Arial" w:cs="Arial"/>
        <w:color w:val="262626"/>
        <w:sz w:val="26"/>
        <w:szCs w:val="26"/>
      </w:rPr>
    </w:pPr>
    <w:r w:rsidRPr="00921675">
      <w:rPr>
        <w:noProof/>
        <w:lang w:eastAsia="fr-FR"/>
      </w:rPr>
      <w:drawing>
        <wp:inline distT="0" distB="0" distL="0" distR="0" wp14:anchorId="4B7E958C" wp14:editId="523BEAFC">
          <wp:extent cx="728980" cy="25463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254635"/>
                  </a:xfrm>
                  <a:prstGeom prst="rect">
                    <a:avLst/>
                  </a:prstGeom>
                  <a:noFill/>
                  <a:ln>
                    <a:noFill/>
                  </a:ln>
                </pic:spPr>
              </pic:pic>
            </a:graphicData>
          </a:graphic>
        </wp:inline>
      </w:drawing>
    </w:r>
  </w:p>
  <w:p w14:paraId="70C29830" w14:textId="77777777" w:rsidR="005908DE" w:rsidRPr="00921675" w:rsidRDefault="00300CD2" w:rsidP="005908DE">
    <w:pPr>
      <w:pStyle w:val="Pieddepage"/>
      <w:jc w:val="center"/>
      <w:rPr>
        <w:sz w:val="16"/>
      </w:rPr>
    </w:pPr>
    <w:r w:rsidRPr="00921675">
      <w:rPr>
        <w:rFonts w:ascii="Arial" w:hAnsi="Arial" w:cs="Arial"/>
        <w:color w:val="262626"/>
        <w:sz w:val="16"/>
        <w:szCs w:val="26"/>
      </w:rPr>
      <w:t xml:space="preserve">Cette création par </w:t>
    </w:r>
    <w:hyperlink r:id="rId2" w:history="1">
      <w:r>
        <w:rPr>
          <w:rFonts w:ascii="Arial" w:hAnsi="Arial" w:cs="Arial"/>
          <w:color w:val="1F3576"/>
          <w:sz w:val="16"/>
          <w:szCs w:val="26"/>
        </w:rPr>
        <w:t>LID2MS-</w:t>
      </w:r>
      <w:r w:rsidRPr="00921675">
        <w:rPr>
          <w:rFonts w:ascii="Arial" w:hAnsi="Arial" w:cs="Arial"/>
          <w:color w:val="1F3576"/>
          <w:sz w:val="16"/>
          <w:szCs w:val="26"/>
        </w:rPr>
        <w:t>IREDIC</w:t>
      </w:r>
    </w:hyperlink>
    <w:r w:rsidRPr="00921675">
      <w:rPr>
        <w:rFonts w:ascii="Arial" w:hAnsi="Arial" w:cs="Arial"/>
        <w:color w:val="262626"/>
        <w:sz w:val="16"/>
        <w:szCs w:val="26"/>
      </w:rPr>
      <w:t xml:space="preserve"> est mise à disposition selon les termes de la </w:t>
    </w:r>
    <w:hyperlink r:id="rId3" w:history="1">
      <w:r w:rsidRPr="00921675">
        <w:rPr>
          <w:rFonts w:ascii="Arial" w:hAnsi="Arial" w:cs="Arial"/>
          <w:color w:val="1F3576"/>
          <w:sz w:val="16"/>
          <w:szCs w:val="26"/>
        </w:rPr>
        <w:t>licence Creative Commons Paternité - Pas d'Utilisation Commerciale - Pas de Modification 2.0 France</w:t>
      </w:r>
    </w:hyperlink>
    <w:r w:rsidRPr="00921675">
      <w:rPr>
        <w:rFonts w:ascii="Arial" w:hAnsi="Arial" w:cs="Arial"/>
        <w:color w:val="262626"/>
        <w:sz w:val="16"/>
        <w:szCs w:val="26"/>
      </w:rPr>
      <w:t>.</w:t>
    </w:r>
  </w:p>
  <w:p w14:paraId="745559E7" w14:textId="77777777" w:rsidR="005908DE" w:rsidRDefault="00F6132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D6039" w14:textId="77777777" w:rsidR="00F6132D" w:rsidRDefault="00F6132D" w:rsidP="001020C6">
      <w:r>
        <w:separator/>
      </w:r>
    </w:p>
  </w:footnote>
  <w:footnote w:type="continuationSeparator" w:id="0">
    <w:p w14:paraId="7D088BF7" w14:textId="77777777" w:rsidR="00F6132D" w:rsidRDefault="00F6132D" w:rsidP="001020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45A8" w14:textId="77777777" w:rsidR="00405FD6" w:rsidRDefault="00300CD2">
    <w:pPr>
      <w:pStyle w:val="En-tte"/>
      <w:jc w:val="right"/>
      <w:rPr>
        <w:color w:val="8496B0" w:themeColor="text2" w:themeTint="99"/>
      </w:rPr>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F6132D">
      <w:rPr>
        <w:noProof/>
        <w:color w:val="8496B0" w:themeColor="text2" w:themeTint="99"/>
      </w:rPr>
      <w:t>1</w:t>
    </w:r>
    <w:r>
      <w:rPr>
        <w:color w:val="8496B0" w:themeColor="text2" w:themeTint="99"/>
      </w:rPr>
      <w:fldChar w:fldCharType="end"/>
    </w:r>
  </w:p>
  <w:p w14:paraId="185EED77" w14:textId="77777777" w:rsidR="00405FD6" w:rsidRDefault="00F6132D">
    <w:pPr>
      <w:pStyle w:val="En-tte"/>
    </w:pPr>
  </w:p>
  <w:p w14:paraId="37555055" w14:textId="77777777" w:rsidR="00EB05B3" w:rsidRDefault="00EB05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60"/>
    <w:rsid w:val="00033412"/>
    <w:rsid w:val="000A4DB7"/>
    <w:rsid w:val="001020C6"/>
    <w:rsid w:val="00113426"/>
    <w:rsid w:val="001A52F4"/>
    <w:rsid w:val="001E1C16"/>
    <w:rsid w:val="001F5523"/>
    <w:rsid w:val="0022324C"/>
    <w:rsid w:val="0027338F"/>
    <w:rsid w:val="00297EEB"/>
    <w:rsid w:val="002B0ED6"/>
    <w:rsid w:val="002C0579"/>
    <w:rsid w:val="002F2E19"/>
    <w:rsid w:val="00300CD2"/>
    <w:rsid w:val="003044BE"/>
    <w:rsid w:val="004458F7"/>
    <w:rsid w:val="004E3EC0"/>
    <w:rsid w:val="004F2DA1"/>
    <w:rsid w:val="005019E7"/>
    <w:rsid w:val="00546567"/>
    <w:rsid w:val="00555968"/>
    <w:rsid w:val="00592060"/>
    <w:rsid w:val="00596E78"/>
    <w:rsid w:val="005B21B5"/>
    <w:rsid w:val="00617826"/>
    <w:rsid w:val="0063309F"/>
    <w:rsid w:val="006B7DB6"/>
    <w:rsid w:val="006C46BE"/>
    <w:rsid w:val="006D5DB9"/>
    <w:rsid w:val="006F69A8"/>
    <w:rsid w:val="007441E0"/>
    <w:rsid w:val="00764E04"/>
    <w:rsid w:val="007827E8"/>
    <w:rsid w:val="007D6F6A"/>
    <w:rsid w:val="007F21D1"/>
    <w:rsid w:val="00813D42"/>
    <w:rsid w:val="0081716D"/>
    <w:rsid w:val="008938E6"/>
    <w:rsid w:val="008B3699"/>
    <w:rsid w:val="008B649C"/>
    <w:rsid w:val="00955E84"/>
    <w:rsid w:val="009B65D0"/>
    <w:rsid w:val="009D25AF"/>
    <w:rsid w:val="009E22E1"/>
    <w:rsid w:val="00A04D40"/>
    <w:rsid w:val="00A0722D"/>
    <w:rsid w:val="00A714C9"/>
    <w:rsid w:val="00B97C49"/>
    <w:rsid w:val="00BB3BEE"/>
    <w:rsid w:val="00BE602E"/>
    <w:rsid w:val="00C103D7"/>
    <w:rsid w:val="00C34742"/>
    <w:rsid w:val="00C461F5"/>
    <w:rsid w:val="00D042ED"/>
    <w:rsid w:val="00D358F3"/>
    <w:rsid w:val="00D66243"/>
    <w:rsid w:val="00D841CA"/>
    <w:rsid w:val="00D874B6"/>
    <w:rsid w:val="00DD6218"/>
    <w:rsid w:val="00E11E35"/>
    <w:rsid w:val="00E3528D"/>
    <w:rsid w:val="00E75736"/>
    <w:rsid w:val="00E92059"/>
    <w:rsid w:val="00EB05B3"/>
    <w:rsid w:val="00EE4597"/>
    <w:rsid w:val="00F07A23"/>
    <w:rsid w:val="00F6132D"/>
    <w:rsid w:val="00F616E7"/>
    <w:rsid w:val="00FB0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E0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6567"/>
    <w:pPr>
      <w:spacing w:before="100" w:beforeAutospacing="1" w:after="100" w:afterAutospacing="1"/>
    </w:pPr>
    <w:rPr>
      <w:rFonts w:ascii="Times New Roman" w:hAnsi="Times New Roman" w:cs="Times New Roman"/>
      <w:lang w:eastAsia="fr-FR"/>
    </w:rPr>
  </w:style>
  <w:style w:type="paragraph" w:styleId="En-tte">
    <w:name w:val="header"/>
    <w:basedOn w:val="Normal"/>
    <w:link w:val="En-tteCar"/>
    <w:uiPriority w:val="99"/>
    <w:unhideWhenUsed/>
    <w:rsid w:val="00E92059"/>
    <w:pPr>
      <w:tabs>
        <w:tab w:val="center" w:pos="4536"/>
        <w:tab w:val="right" w:pos="9072"/>
      </w:tabs>
    </w:pPr>
  </w:style>
  <w:style w:type="character" w:customStyle="1" w:styleId="En-tteCar">
    <w:name w:val="En-tête Car"/>
    <w:basedOn w:val="Policepardfaut"/>
    <w:link w:val="En-tte"/>
    <w:uiPriority w:val="99"/>
    <w:rsid w:val="00E92059"/>
  </w:style>
  <w:style w:type="paragraph" w:styleId="Pieddepage">
    <w:name w:val="footer"/>
    <w:basedOn w:val="Normal"/>
    <w:link w:val="PieddepageCar"/>
    <w:uiPriority w:val="99"/>
    <w:unhideWhenUsed/>
    <w:rsid w:val="00E92059"/>
    <w:pPr>
      <w:tabs>
        <w:tab w:val="center" w:pos="4536"/>
        <w:tab w:val="right" w:pos="9072"/>
      </w:tabs>
    </w:pPr>
  </w:style>
  <w:style w:type="character" w:customStyle="1" w:styleId="PieddepageCar">
    <w:name w:val="Pied de page Car"/>
    <w:basedOn w:val="Policepardfaut"/>
    <w:link w:val="Pieddepage"/>
    <w:uiPriority w:val="99"/>
    <w:rsid w:val="00E9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5331">
      <w:bodyDiv w:val="1"/>
      <w:marLeft w:val="0"/>
      <w:marRight w:val="0"/>
      <w:marTop w:val="0"/>
      <w:marBottom w:val="0"/>
      <w:divBdr>
        <w:top w:val="none" w:sz="0" w:space="0" w:color="auto"/>
        <w:left w:val="none" w:sz="0" w:space="0" w:color="auto"/>
        <w:bottom w:val="none" w:sz="0" w:space="0" w:color="auto"/>
        <w:right w:val="none" w:sz="0" w:space="0" w:color="auto"/>
      </w:divBdr>
      <w:divsChild>
        <w:div w:id="766735946">
          <w:marLeft w:val="0"/>
          <w:marRight w:val="0"/>
          <w:marTop w:val="0"/>
          <w:marBottom w:val="0"/>
          <w:divBdr>
            <w:top w:val="none" w:sz="0" w:space="0" w:color="auto"/>
            <w:left w:val="none" w:sz="0" w:space="0" w:color="auto"/>
            <w:bottom w:val="none" w:sz="0" w:space="0" w:color="auto"/>
            <w:right w:val="none" w:sz="0" w:space="0" w:color="auto"/>
          </w:divBdr>
          <w:divsChild>
            <w:div w:id="720518700">
              <w:marLeft w:val="0"/>
              <w:marRight w:val="0"/>
              <w:marTop w:val="0"/>
              <w:marBottom w:val="0"/>
              <w:divBdr>
                <w:top w:val="none" w:sz="0" w:space="0" w:color="auto"/>
                <w:left w:val="none" w:sz="0" w:space="0" w:color="auto"/>
                <w:bottom w:val="none" w:sz="0" w:space="0" w:color="auto"/>
                <w:right w:val="none" w:sz="0" w:space="0" w:color="auto"/>
              </w:divBdr>
              <w:divsChild>
                <w:div w:id="10834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017">
          <w:marLeft w:val="0"/>
          <w:marRight w:val="0"/>
          <w:marTop w:val="0"/>
          <w:marBottom w:val="0"/>
          <w:divBdr>
            <w:top w:val="none" w:sz="0" w:space="0" w:color="auto"/>
            <w:left w:val="none" w:sz="0" w:space="0" w:color="auto"/>
            <w:bottom w:val="none" w:sz="0" w:space="0" w:color="auto"/>
            <w:right w:val="none" w:sz="0" w:space="0" w:color="auto"/>
          </w:divBdr>
          <w:divsChild>
            <w:div w:id="642469689">
              <w:marLeft w:val="0"/>
              <w:marRight w:val="0"/>
              <w:marTop w:val="0"/>
              <w:marBottom w:val="0"/>
              <w:divBdr>
                <w:top w:val="none" w:sz="0" w:space="0" w:color="auto"/>
                <w:left w:val="none" w:sz="0" w:space="0" w:color="auto"/>
                <w:bottom w:val="none" w:sz="0" w:space="0" w:color="auto"/>
                <w:right w:val="none" w:sz="0" w:space="0" w:color="auto"/>
              </w:divBdr>
              <w:divsChild>
                <w:div w:id="799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5336">
      <w:bodyDiv w:val="1"/>
      <w:marLeft w:val="0"/>
      <w:marRight w:val="0"/>
      <w:marTop w:val="0"/>
      <w:marBottom w:val="0"/>
      <w:divBdr>
        <w:top w:val="none" w:sz="0" w:space="0" w:color="auto"/>
        <w:left w:val="none" w:sz="0" w:space="0" w:color="auto"/>
        <w:bottom w:val="none" w:sz="0" w:space="0" w:color="auto"/>
        <w:right w:val="none" w:sz="0" w:space="0" w:color="auto"/>
      </w:divBdr>
      <w:divsChild>
        <w:div w:id="1175801418">
          <w:marLeft w:val="0"/>
          <w:marRight w:val="0"/>
          <w:marTop w:val="0"/>
          <w:marBottom w:val="0"/>
          <w:divBdr>
            <w:top w:val="none" w:sz="0" w:space="0" w:color="auto"/>
            <w:left w:val="none" w:sz="0" w:space="0" w:color="auto"/>
            <w:bottom w:val="none" w:sz="0" w:space="0" w:color="auto"/>
            <w:right w:val="none" w:sz="0" w:space="0" w:color="auto"/>
          </w:divBdr>
          <w:divsChild>
            <w:div w:id="1714845870">
              <w:marLeft w:val="0"/>
              <w:marRight w:val="0"/>
              <w:marTop w:val="0"/>
              <w:marBottom w:val="0"/>
              <w:divBdr>
                <w:top w:val="none" w:sz="0" w:space="0" w:color="auto"/>
                <w:left w:val="none" w:sz="0" w:space="0" w:color="auto"/>
                <w:bottom w:val="none" w:sz="0" w:space="0" w:color="auto"/>
                <w:right w:val="none" w:sz="0" w:space="0" w:color="auto"/>
              </w:divBdr>
              <w:divsChild>
                <w:div w:id="1655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1330">
      <w:bodyDiv w:val="1"/>
      <w:marLeft w:val="0"/>
      <w:marRight w:val="0"/>
      <w:marTop w:val="0"/>
      <w:marBottom w:val="0"/>
      <w:divBdr>
        <w:top w:val="none" w:sz="0" w:space="0" w:color="auto"/>
        <w:left w:val="none" w:sz="0" w:space="0" w:color="auto"/>
        <w:bottom w:val="none" w:sz="0" w:space="0" w:color="auto"/>
        <w:right w:val="none" w:sz="0" w:space="0" w:color="auto"/>
      </w:divBdr>
      <w:divsChild>
        <w:div w:id="435713689">
          <w:marLeft w:val="0"/>
          <w:marRight w:val="0"/>
          <w:marTop w:val="0"/>
          <w:marBottom w:val="0"/>
          <w:divBdr>
            <w:top w:val="none" w:sz="0" w:space="0" w:color="auto"/>
            <w:left w:val="none" w:sz="0" w:space="0" w:color="auto"/>
            <w:bottom w:val="none" w:sz="0" w:space="0" w:color="auto"/>
            <w:right w:val="none" w:sz="0" w:space="0" w:color="auto"/>
          </w:divBdr>
          <w:divsChild>
            <w:div w:id="2028755158">
              <w:marLeft w:val="0"/>
              <w:marRight w:val="0"/>
              <w:marTop w:val="0"/>
              <w:marBottom w:val="0"/>
              <w:divBdr>
                <w:top w:val="none" w:sz="0" w:space="0" w:color="auto"/>
                <w:left w:val="none" w:sz="0" w:space="0" w:color="auto"/>
                <w:bottom w:val="none" w:sz="0" w:space="0" w:color="auto"/>
                <w:right w:val="none" w:sz="0" w:space="0" w:color="auto"/>
              </w:divBdr>
              <w:divsChild>
                <w:div w:id="2344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9061">
          <w:marLeft w:val="0"/>
          <w:marRight w:val="0"/>
          <w:marTop w:val="0"/>
          <w:marBottom w:val="0"/>
          <w:divBdr>
            <w:top w:val="none" w:sz="0" w:space="0" w:color="auto"/>
            <w:left w:val="none" w:sz="0" w:space="0" w:color="auto"/>
            <w:bottom w:val="none" w:sz="0" w:space="0" w:color="auto"/>
            <w:right w:val="none" w:sz="0" w:space="0" w:color="auto"/>
          </w:divBdr>
          <w:divsChild>
            <w:div w:id="1762218480">
              <w:marLeft w:val="0"/>
              <w:marRight w:val="0"/>
              <w:marTop w:val="0"/>
              <w:marBottom w:val="0"/>
              <w:divBdr>
                <w:top w:val="none" w:sz="0" w:space="0" w:color="auto"/>
                <w:left w:val="none" w:sz="0" w:space="0" w:color="auto"/>
                <w:bottom w:val="none" w:sz="0" w:space="0" w:color="auto"/>
                <w:right w:val="none" w:sz="0" w:space="0" w:color="auto"/>
              </w:divBdr>
              <w:divsChild>
                <w:div w:id="20859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40535">
      <w:bodyDiv w:val="1"/>
      <w:marLeft w:val="0"/>
      <w:marRight w:val="0"/>
      <w:marTop w:val="0"/>
      <w:marBottom w:val="0"/>
      <w:divBdr>
        <w:top w:val="none" w:sz="0" w:space="0" w:color="auto"/>
        <w:left w:val="none" w:sz="0" w:space="0" w:color="auto"/>
        <w:bottom w:val="none" w:sz="0" w:space="0" w:color="auto"/>
        <w:right w:val="none" w:sz="0" w:space="0" w:color="auto"/>
      </w:divBdr>
      <w:divsChild>
        <w:div w:id="432172681">
          <w:marLeft w:val="0"/>
          <w:marRight w:val="0"/>
          <w:marTop w:val="0"/>
          <w:marBottom w:val="0"/>
          <w:divBdr>
            <w:top w:val="none" w:sz="0" w:space="0" w:color="auto"/>
            <w:left w:val="none" w:sz="0" w:space="0" w:color="auto"/>
            <w:bottom w:val="none" w:sz="0" w:space="0" w:color="auto"/>
            <w:right w:val="none" w:sz="0" w:space="0" w:color="auto"/>
          </w:divBdr>
          <w:divsChild>
            <w:div w:id="309285854">
              <w:marLeft w:val="0"/>
              <w:marRight w:val="0"/>
              <w:marTop w:val="0"/>
              <w:marBottom w:val="0"/>
              <w:divBdr>
                <w:top w:val="none" w:sz="0" w:space="0" w:color="auto"/>
                <w:left w:val="none" w:sz="0" w:space="0" w:color="auto"/>
                <w:bottom w:val="none" w:sz="0" w:space="0" w:color="auto"/>
                <w:right w:val="none" w:sz="0" w:space="0" w:color="auto"/>
              </w:divBdr>
              <w:divsChild>
                <w:div w:id="941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3618">
      <w:bodyDiv w:val="1"/>
      <w:marLeft w:val="0"/>
      <w:marRight w:val="0"/>
      <w:marTop w:val="0"/>
      <w:marBottom w:val="0"/>
      <w:divBdr>
        <w:top w:val="none" w:sz="0" w:space="0" w:color="auto"/>
        <w:left w:val="none" w:sz="0" w:space="0" w:color="auto"/>
        <w:bottom w:val="none" w:sz="0" w:space="0" w:color="auto"/>
        <w:right w:val="none" w:sz="0" w:space="0" w:color="auto"/>
      </w:divBdr>
      <w:divsChild>
        <w:div w:id="1594510553">
          <w:marLeft w:val="0"/>
          <w:marRight w:val="0"/>
          <w:marTop w:val="0"/>
          <w:marBottom w:val="0"/>
          <w:divBdr>
            <w:top w:val="none" w:sz="0" w:space="0" w:color="auto"/>
            <w:left w:val="none" w:sz="0" w:space="0" w:color="auto"/>
            <w:bottom w:val="none" w:sz="0" w:space="0" w:color="auto"/>
            <w:right w:val="none" w:sz="0" w:space="0" w:color="auto"/>
          </w:divBdr>
          <w:divsChild>
            <w:div w:id="1522275675">
              <w:marLeft w:val="0"/>
              <w:marRight w:val="0"/>
              <w:marTop w:val="0"/>
              <w:marBottom w:val="0"/>
              <w:divBdr>
                <w:top w:val="none" w:sz="0" w:space="0" w:color="auto"/>
                <w:left w:val="none" w:sz="0" w:space="0" w:color="auto"/>
                <w:bottom w:val="none" w:sz="0" w:space="0" w:color="auto"/>
                <w:right w:val="none" w:sz="0" w:space="0" w:color="auto"/>
              </w:divBdr>
              <w:divsChild>
                <w:div w:id="8200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3190">
      <w:bodyDiv w:val="1"/>
      <w:marLeft w:val="0"/>
      <w:marRight w:val="0"/>
      <w:marTop w:val="0"/>
      <w:marBottom w:val="0"/>
      <w:divBdr>
        <w:top w:val="none" w:sz="0" w:space="0" w:color="auto"/>
        <w:left w:val="none" w:sz="0" w:space="0" w:color="auto"/>
        <w:bottom w:val="none" w:sz="0" w:space="0" w:color="auto"/>
        <w:right w:val="none" w:sz="0" w:space="0" w:color="auto"/>
      </w:divBdr>
      <w:divsChild>
        <w:div w:id="1542980253">
          <w:marLeft w:val="0"/>
          <w:marRight w:val="0"/>
          <w:marTop w:val="0"/>
          <w:marBottom w:val="0"/>
          <w:divBdr>
            <w:top w:val="none" w:sz="0" w:space="0" w:color="auto"/>
            <w:left w:val="none" w:sz="0" w:space="0" w:color="auto"/>
            <w:bottom w:val="none" w:sz="0" w:space="0" w:color="auto"/>
            <w:right w:val="none" w:sz="0" w:space="0" w:color="auto"/>
          </w:divBdr>
          <w:divsChild>
            <w:div w:id="121701956">
              <w:marLeft w:val="0"/>
              <w:marRight w:val="0"/>
              <w:marTop w:val="0"/>
              <w:marBottom w:val="0"/>
              <w:divBdr>
                <w:top w:val="none" w:sz="0" w:space="0" w:color="auto"/>
                <w:left w:val="none" w:sz="0" w:space="0" w:color="auto"/>
                <w:bottom w:val="none" w:sz="0" w:space="0" w:color="auto"/>
                <w:right w:val="none" w:sz="0" w:space="0" w:color="auto"/>
              </w:divBdr>
              <w:divsChild>
                <w:div w:id="1412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3443">
      <w:bodyDiv w:val="1"/>
      <w:marLeft w:val="0"/>
      <w:marRight w:val="0"/>
      <w:marTop w:val="0"/>
      <w:marBottom w:val="0"/>
      <w:divBdr>
        <w:top w:val="none" w:sz="0" w:space="0" w:color="auto"/>
        <w:left w:val="none" w:sz="0" w:space="0" w:color="auto"/>
        <w:bottom w:val="none" w:sz="0" w:space="0" w:color="auto"/>
        <w:right w:val="none" w:sz="0" w:space="0" w:color="auto"/>
      </w:divBdr>
      <w:divsChild>
        <w:div w:id="1890532608">
          <w:marLeft w:val="0"/>
          <w:marRight w:val="0"/>
          <w:marTop w:val="0"/>
          <w:marBottom w:val="0"/>
          <w:divBdr>
            <w:top w:val="none" w:sz="0" w:space="0" w:color="auto"/>
            <w:left w:val="none" w:sz="0" w:space="0" w:color="auto"/>
            <w:bottom w:val="none" w:sz="0" w:space="0" w:color="auto"/>
            <w:right w:val="none" w:sz="0" w:space="0" w:color="auto"/>
          </w:divBdr>
          <w:divsChild>
            <w:div w:id="1551459928">
              <w:marLeft w:val="0"/>
              <w:marRight w:val="0"/>
              <w:marTop w:val="0"/>
              <w:marBottom w:val="0"/>
              <w:divBdr>
                <w:top w:val="none" w:sz="0" w:space="0" w:color="auto"/>
                <w:left w:val="none" w:sz="0" w:space="0" w:color="auto"/>
                <w:bottom w:val="none" w:sz="0" w:space="0" w:color="auto"/>
                <w:right w:val="none" w:sz="0" w:space="0" w:color="auto"/>
              </w:divBdr>
              <w:divsChild>
                <w:div w:id="15263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459">
      <w:bodyDiv w:val="1"/>
      <w:marLeft w:val="0"/>
      <w:marRight w:val="0"/>
      <w:marTop w:val="0"/>
      <w:marBottom w:val="0"/>
      <w:divBdr>
        <w:top w:val="none" w:sz="0" w:space="0" w:color="auto"/>
        <w:left w:val="none" w:sz="0" w:space="0" w:color="auto"/>
        <w:bottom w:val="none" w:sz="0" w:space="0" w:color="auto"/>
        <w:right w:val="none" w:sz="0" w:space="0" w:color="auto"/>
      </w:divBdr>
      <w:divsChild>
        <w:div w:id="1763718420">
          <w:marLeft w:val="0"/>
          <w:marRight w:val="0"/>
          <w:marTop w:val="0"/>
          <w:marBottom w:val="0"/>
          <w:divBdr>
            <w:top w:val="none" w:sz="0" w:space="0" w:color="auto"/>
            <w:left w:val="none" w:sz="0" w:space="0" w:color="auto"/>
            <w:bottom w:val="none" w:sz="0" w:space="0" w:color="auto"/>
            <w:right w:val="none" w:sz="0" w:space="0" w:color="auto"/>
          </w:divBdr>
          <w:divsChild>
            <w:div w:id="1746486596">
              <w:marLeft w:val="0"/>
              <w:marRight w:val="0"/>
              <w:marTop w:val="0"/>
              <w:marBottom w:val="0"/>
              <w:divBdr>
                <w:top w:val="none" w:sz="0" w:space="0" w:color="auto"/>
                <w:left w:val="none" w:sz="0" w:space="0" w:color="auto"/>
                <w:bottom w:val="none" w:sz="0" w:space="0" w:color="auto"/>
                <w:right w:val="none" w:sz="0" w:space="0" w:color="auto"/>
              </w:divBdr>
              <w:divsChild>
                <w:div w:id="19819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6436">
      <w:bodyDiv w:val="1"/>
      <w:marLeft w:val="0"/>
      <w:marRight w:val="0"/>
      <w:marTop w:val="0"/>
      <w:marBottom w:val="0"/>
      <w:divBdr>
        <w:top w:val="none" w:sz="0" w:space="0" w:color="auto"/>
        <w:left w:val="none" w:sz="0" w:space="0" w:color="auto"/>
        <w:bottom w:val="none" w:sz="0" w:space="0" w:color="auto"/>
        <w:right w:val="none" w:sz="0" w:space="0" w:color="auto"/>
      </w:divBdr>
      <w:divsChild>
        <w:div w:id="1936014602">
          <w:marLeft w:val="0"/>
          <w:marRight w:val="0"/>
          <w:marTop w:val="0"/>
          <w:marBottom w:val="0"/>
          <w:divBdr>
            <w:top w:val="none" w:sz="0" w:space="0" w:color="auto"/>
            <w:left w:val="none" w:sz="0" w:space="0" w:color="auto"/>
            <w:bottom w:val="none" w:sz="0" w:space="0" w:color="auto"/>
            <w:right w:val="none" w:sz="0" w:space="0" w:color="auto"/>
          </w:divBdr>
          <w:divsChild>
            <w:div w:id="1622153404">
              <w:marLeft w:val="0"/>
              <w:marRight w:val="0"/>
              <w:marTop w:val="0"/>
              <w:marBottom w:val="0"/>
              <w:divBdr>
                <w:top w:val="none" w:sz="0" w:space="0" w:color="auto"/>
                <w:left w:val="none" w:sz="0" w:space="0" w:color="auto"/>
                <w:bottom w:val="none" w:sz="0" w:space="0" w:color="auto"/>
                <w:right w:val="none" w:sz="0" w:space="0" w:color="auto"/>
              </w:divBdr>
              <w:divsChild>
                <w:div w:id="2491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5920">
          <w:marLeft w:val="0"/>
          <w:marRight w:val="0"/>
          <w:marTop w:val="0"/>
          <w:marBottom w:val="0"/>
          <w:divBdr>
            <w:top w:val="none" w:sz="0" w:space="0" w:color="auto"/>
            <w:left w:val="none" w:sz="0" w:space="0" w:color="auto"/>
            <w:bottom w:val="none" w:sz="0" w:space="0" w:color="auto"/>
            <w:right w:val="none" w:sz="0" w:space="0" w:color="auto"/>
          </w:divBdr>
          <w:divsChild>
            <w:div w:id="981497685">
              <w:marLeft w:val="0"/>
              <w:marRight w:val="0"/>
              <w:marTop w:val="0"/>
              <w:marBottom w:val="0"/>
              <w:divBdr>
                <w:top w:val="none" w:sz="0" w:space="0" w:color="auto"/>
                <w:left w:val="none" w:sz="0" w:space="0" w:color="auto"/>
                <w:bottom w:val="none" w:sz="0" w:space="0" w:color="auto"/>
                <w:right w:val="none" w:sz="0" w:space="0" w:color="auto"/>
              </w:divBdr>
              <w:divsChild>
                <w:div w:id="10555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3686">
      <w:bodyDiv w:val="1"/>
      <w:marLeft w:val="0"/>
      <w:marRight w:val="0"/>
      <w:marTop w:val="0"/>
      <w:marBottom w:val="0"/>
      <w:divBdr>
        <w:top w:val="none" w:sz="0" w:space="0" w:color="auto"/>
        <w:left w:val="none" w:sz="0" w:space="0" w:color="auto"/>
        <w:bottom w:val="none" w:sz="0" w:space="0" w:color="auto"/>
        <w:right w:val="none" w:sz="0" w:space="0" w:color="auto"/>
      </w:divBdr>
      <w:divsChild>
        <w:div w:id="666976413">
          <w:marLeft w:val="0"/>
          <w:marRight w:val="0"/>
          <w:marTop w:val="0"/>
          <w:marBottom w:val="0"/>
          <w:divBdr>
            <w:top w:val="none" w:sz="0" w:space="0" w:color="auto"/>
            <w:left w:val="none" w:sz="0" w:space="0" w:color="auto"/>
            <w:bottom w:val="none" w:sz="0" w:space="0" w:color="auto"/>
            <w:right w:val="none" w:sz="0" w:space="0" w:color="auto"/>
          </w:divBdr>
          <w:divsChild>
            <w:div w:id="982155040">
              <w:marLeft w:val="0"/>
              <w:marRight w:val="0"/>
              <w:marTop w:val="0"/>
              <w:marBottom w:val="0"/>
              <w:divBdr>
                <w:top w:val="none" w:sz="0" w:space="0" w:color="auto"/>
                <w:left w:val="none" w:sz="0" w:space="0" w:color="auto"/>
                <w:bottom w:val="none" w:sz="0" w:space="0" w:color="auto"/>
                <w:right w:val="none" w:sz="0" w:space="0" w:color="auto"/>
              </w:divBdr>
              <w:divsChild>
                <w:div w:id="771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7613">
      <w:bodyDiv w:val="1"/>
      <w:marLeft w:val="0"/>
      <w:marRight w:val="0"/>
      <w:marTop w:val="0"/>
      <w:marBottom w:val="0"/>
      <w:divBdr>
        <w:top w:val="none" w:sz="0" w:space="0" w:color="auto"/>
        <w:left w:val="none" w:sz="0" w:space="0" w:color="auto"/>
        <w:bottom w:val="none" w:sz="0" w:space="0" w:color="auto"/>
        <w:right w:val="none" w:sz="0" w:space="0" w:color="auto"/>
      </w:divBdr>
      <w:divsChild>
        <w:div w:id="463235803">
          <w:marLeft w:val="0"/>
          <w:marRight w:val="0"/>
          <w:marTop w:val="0"/>
          <w:marBottom w:val="0"/>
          <w:divBdr>
            <w:top w:val="none" w:sz="0" w:space="0" w:color="auto"/>
            <w:left w:val="none" w:sz="0" w:space="0" w:color="auto"/>
            <w:bottom w:val="none" w:sz="0" w:space="0" w:color="auto"/>
            <w:right w:val="none" w:sz="0" w:space="0" w:color="auto"/>
          </w:divBdr>
          <w:divsChild>
            <w:div w:id="1750342638">
              <w:marLeft w:val="0"/>
              <w:marRight w:val="0"/>
              <w:marTop w:val="0"/>
              <w:marBottom w:val="0"/>
              <w:divBdr>
                <w:top w:val="none" w:sz="0" w:space="0" w:color="auto"/>
                <w:left w:val="none" w:sz="0" w:space="0" w:color="auto"/>
                <w:bottom w:val="none" w:sz="0" w:space="0" w:color="auto"/>
                <w:right w:val="none" w:sz="0" w:space="0" w:color="auto"/>
              </w:divBdr>
              <w:divsChild>
                <w:div w:id="3486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832">
          <w:marLeft w:val="0"/>
          <w:marRight w:val="0"/>
          <w:marTop w:val="0"/>
          <w:marBottom w:val="0"/>
          <w:divBdr>
            <w:top w:val="none" w:sz="0" w:space="0" w:color="auto"/>
            <w:left w:val="none" w:sz="0" w:space="0" w:color="auto"/>
            <w:bottom w:val="none" w:sz="0" w:space="0" w:color="auto"/>
            <w:right w:val="none" w:sz="0" w:space="0" w:color="auto"/>
          </w:divBdr>
          <w:divsChild>
            <w:div w:id="386877825">
              <w:marLeft w:val="0"/>
              <w:marRight w:val="0"/>
              <w:marTop w:val="0"/>
              <w:marBottom w:val="0"/>
              <w:divBdr>
                <w:top w:val="none" w:sz="0" w:space="0" w:color="auto"/>
                <w:left w:val="none" w:sz="0" w:space="0" w:color="auto"/>
                <w:bottom w:val="none" w:sz="0" w:space="0" w:color="auto"/>
                <w:right w:val="none" w:sz="0" w:space="0" w:color="auto"/>
              </w:divBdr>
              <w:divsChild>
                <w:div w:id="20382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choose/iredic.com" TargetMode="External"/><Relationship Id="rId3" Type="http://schemas.openxmlformats.org/officeDocument/2006/relationships/hyperlink" Target="http://creativecommons.org/licenses/by-nc-nd/2.0/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1690</Words>
  <Characters>9299</Characters>
  <Application>Microsoft Macintosh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BORDURE Bettina</dc:creator>
  <cp:keywords/>
  <dc:description/>
  <cp:lastModifiedBy>BORDURE Bettina</cp:lastModifiedBy>
  <cp:revision>5</cp:revision>
  <dcterms:created xsi:type="dcterms:W3CDTF">2017-10-20T14:00:00Z</dcterms:created>
  <dcterms:modified xsi:type="dcterms:W3CDTF">2018-01-03T11:02:00Z</dcterms:modified>
</cp:coreProperties>
</file>