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693" w14:textId="43176DBA" w:rsidR="000E128A" w:rsidRPr="000E128A" w:rsidRDefault="00432604" w:rsidP="000E128A">
      <w:pPr>
        <w:shd w:val="clear" w:color="auto" w:fill="A6A6A6" w:themeFill="background1" w:themeFillShade="A6"/>
        <w:jc w:val="center"/>
        <w:rPr>
          <w:b/>
          <w:bCs/>
          <w:i/>
          <w:iCs/>
          <w:sz w:val="28"/>
          <w:szCs w:val="28"/>
        </w:rPr>
      </w:pPr>
      <w:r w:rsidRPr="000E128A">
        <w:rPr>
          <w:b/>
          <w:bCs/>
          <w:i/>
          <w:iCs/>
          <w:sz w:val="28"/>
          <w:szCs w:val="28"/>
        </w:rPr>
        <w:t xml:space="preserve">COUR DE JUSTICE DE L’UNION EUROPÉENNE, 22 décembre 2022, </w:t>
      </w:r>
      <w:proofErr w:type="spellStart"/>
      <w:r w:rsidRPr="000E128A">
        <w:rPr>
          <w:b/>
          <w:bCs/>
          <w:i/>
          <w:iCs/>
          <w:sz w:val="28"/>
          <w:szCs w:val="28"/>
        </w:rPr>
        <w:t>aff.</w:t>
      </w:r>
      <w:proofErr w:type="spellEnd"/>
      <w:r w:rsidRPr="000E128A">
        <w:rPr>
          <w:b/>
          <w:bCs/>
          <w:i/>
          <w:iCs/>
          <w:sz w:val="28"/>
          <w:szCs w:val="28"/>
        </w:rPr>
        <w:t xml:space="preserve"> C-148/21 et C-184/21, Louboutin c/ Amazon</w:t>
      </w:r>
    </w:p>
    <w:p w14:paraId="2DDDE671" w14:textId="40898E47" w:rsidR="000E128A" w:rsidRDefault="000E128A" w:rsidP="000E128A">
      <w:pPr>
        <w:spacing w:line="240" w:lineRule="auto"/>
        <w:rPr>
          <w:b/>
          <w:bCs/>
          <w:sz w:val="22"/>
          <w:szCs w:val="22"/>
        </w:rPr>
      </w:pPr>
      <w:r w:rsidRPr="00796B1D">
        <w:rPr>
          <w:b/>
          <w:bCs/>
          <w:sz w:val="22"/>
          <w:szCs w:val="22"/>
          <w:u w:val="single"/>
        </w:rPr>
        <w:t>MOTS CL</w:t>
      </w:r>
      <w:r w:rsidR="00F91394" w:rsidRPr="00796B1D">
        <w:rPr>
          <w:b/>
          <w:bCs/>
          <w:sz w:val="22"/>
          <w:szCs w:val="22"/>
          <w:u w:val="single"/>
        </w:rPr>
        <w:t>É</w:t>
      </w:r>
      <w:r w:rsidRPr="00796B1D">
        <w:rPr>
          <w:b/>
          <w:bCs/>
          <w:sz w:val="22"/>
          <w:szCs w:val="22"/>
          <w:u w:val="single"/>
        </w:rPr>
        <w:t>S</w:t>
      </w:r>
      <w:r w:rsidRPr="000E128A">
        <w:rPr>
          <w:b/>
          <w:bCs/>
          <w:sz w:val="22"/>
          <w:szCs w:val="22"/>
        </w:rPr>
        <w:t> : renvoi préjudiciel – marque de l’union européenne –</w:t>
      </w:r>
      <w:r w:rsidR="00F91394">
        <w:rPr>
          <w:b/>
          <w:bCs/>
          <w:sz w:val="22"/>
          <w:szCs w:val="22"/>
        </w:rPr>
        <w:t xml:space="preserve"> </w:t>
      </w:r>
      <w:r w:rsidRPr="000E128A">
        <w:rPr>
          <w:b/>
          <w:bCs/>
          <w:sz w:val="22"/>
          <w:szCs w:val="22"/>
        </w:rPr>
        <w:t xml:space="preserve">contrefaçon – </w:t>
      </w:r>
      <w:r w:rsidR="00F91394">
        <w:rPr>
          <w:b/>
          <w:bCs/>
          <w:sz w:val="22"/>
          <w:szCs w:val="22"/>
        </w:rPr>
        <w:t xml:space="preserve">usage de signe identique à une marque – plateforme en ligne – place de marché </w:t>
      </w:r>
    </w:p>
    <w:p w14:paraId="78241414" w14:textId="77777777" w:rsidR="004861D4" w:rsidRPr="000E128A" w:rsidRDefault="004861D4" w:rsidP="000E128A">
      <w:pPr>
        <w:spacing w:line="240" w:lineRule="auto"/>
        <w:rPr>
          <w:b/>
          <w:bCs/>
          <w:sz w:val="22"/>
          <w:szCs w:val="22"/>
        </w:rPr>
      </w:pPr>
    </w:p>
    <w:p w14:paraId="732706D7" w14:textId="58EA950B" w:rsidR="00FA4F24" w:rsidRDefault="00FA4F24" w:rsidP="004861D4">
      <w:pPr>
        <w:spacing w:line="240" w:lineRule="auto"/>
        <w:rPr>
          <w:i/>
          <w:iCs/>
        </w:rPr>
      </w:pPr>
      <w:r>
        <w:rPr>
          <w:i/>
          <w:iCs/>
        </w:rPr>
        <w:tab/>
      </w:r>
      <w:r w:rsidR="000E128A" w:rsidRPr="000E128A">
        <w:rPr>
          <w:i/>
          <w:iCs/>
        </w:rPr>
        <w:t xml:space="preserve">La cour de justice de l’Union européenne </w:t>
      </w:r>
      <w:r w:rsidR="008B546B">
        <w:rPr>
          <w:i/>
          <w:iCs/>
        </w:rPr>
        <w:t xml:space="preserve">vient réaffirmer la responsabilité des plateformes de vente </w:t>
      </w:r>
      <w:r w:rsidR="00CA5D20">
        <w:rPr>
          <w:i/>
          <w:iCs/>
        </w:rPr>
        <w:t>e</w:t>
      </w:r>
      <w:r w:rsidR="00EA08CA">
        <w:rPr>
          <w:i/>
          <w:iCs/>
        </w:rPr>
        <w:t>n</w:t>
      </w:r>
      <w:r w:rsidR="00CA5D20">
        <w:rPr>
          <w:i/>
          <w:iCs/>
        </w:rPr>
        <w:t xml:space="preserve"> ligne</w:t>
      </w:r>
      <w:r w:rsidR="008B546B">
        <w:rPr>
          <w:i/>
          <w:iCs/>
        </w:rPr>
        <w:t xml:space="preserve"> au sujet de produits contrefaisants annoncés sur leurs sites. En accroissant la responsabilité </w:t>
      </w:r>
      <w:r>
        <w:rPr>
          <w:i/>
          <w:iCs/>
        </w:rPr>
        <w:t>d’Amazon</w:t>
      </w:r>
      <w:r w:rsidR="008B546B">
        <w:rPr>
          <w:i/>
          <w:iCs/>
        </w:rPr>
        <w:t xml:space="preserve"> qui participe à la promotion et à la distribution de produits </w:t>
      </w:r>
      <w:r>
        <w:rPr>
          <w:i/>
          <w:iCs/>
        </w:rPr>
        <w:t>violant des</w:t>
      </w:r>
      <w:r w:rsidR="008B546B">
        <w:rPr>
          <w:i/>
          <w:iCs/>
        </w:rPr>
        <w:t xml:space="preserve"> droits de propriété intellectuelle, la </w:t>
      </w:r>
      <w:r>
        <w:rPr>
          <w:i/>
          <w:iCs/>
        </w:rPr>
        <w:t xml:space="preserve">décision </w:t>
      </w:r>
      <w:r w:rsidR="008B546B">
        <w:rPr>
          <w:i/>
          <w:iCs/>
        </w:rPr>
        <w:t xml:space="preserve">semble s’inscrire dans la lutte </w:t>
      </w:r>
      <w:r>
        <w:rPr>
          <w:i/>
          <w:iCs/>
        </w:rPr>
        <w:t>contre le</w:t>
      </w:r>
      <w:r w:rsidR="008B546B">
        <w:rPr>
          <w:i/>
          <w:iCs/>
        </w:rPr>
        <w:t xml:space="preserve"> nouveau fléau de la contrefaçon en ligne. </w:t>
      </w:r>
    </w:p>
    <w:p w14:paraId="3A649A8B" w14:textId="77777777" w:rsidR="004861D4" w:rsidRPr="000E128A" w:rsidRDefault="004861D4" w:rsidP="004861D4">
      <w:pPr>
        <w:spacing w:line="240" w:lineRule="auto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E128A" w14:paraId="1ECFB70D" w14:textId="77777777" w:rsidTr="000E128A">
        <w:tc>
          <w:tcPr>
            <w:tcW w:w="9056" w:type="dxa"/>
          </w:tcPr>
          <w:p w14:paraId="2CADFA21" w14:textId="7B4BA29A" w:rsidR="000E128A" w:rsidRDefault="000E128A" w:rsidP="000E128A">
            <w:r w:rsidRPr="00E8188C">
              <w:rPr>
                <w:b/>
                <w:bCs/>
                <w:u w:val="single"/>
              </w:rPr>
              <w:t>FAITS</w:t>
            </w:r>
            <w:r w:rsidRPr="000E128A">
              <w:rPr>
                <w:b/>
                <w:bCs/>
              </w:rPr>
              <w:t xml:space="preserve"> : </w:t>
            </w:r>
            <w:r w:rsidRPr="000E128A">
              <w:t xml:space="preserve">Le créateur français de luxe Christian Louboutin </w:t>
            </w:r>
            <w:r>
              <w:t xml:space="preserve">dont </w:t>
            </w:r>
            <w:r w:rsidR="00F91394">
              <w:t>ses célèbres</w:t>
            </w:r>
            <w:r w:rsidR="005375E4">
              <w:t xml:space="preserve"> talon</w:t>
            </w:r>
            <w:r w:rsidR="00F91394">
              <w:t>s</w:t>
            </w:r>
            <w:r w:rsidR="005375E4">
              <w:t xml:space="preserve"> haut</w:t>
            </w:r>
            <w:r w:rsidR="00F91394">
              <w:t>s</w:t>
            </w:r>
            <w:r>
              <w:t xml:space="preserve"> à semelle rouge</w:t>
            </w:r>
            <w:r w:rsidR="00F91394">
              <w:t xml:space="preserve"> sont</w:t>
            </w:r>
            <w:r w:rsidR="005375E4">
              <w:t xml:space="preserve"> enregistré</w:t>
            </w:r>
            <w:r w:rsidR="00F91394">
              <w:t>s</w:t>
            </w:r>
            <w:r w:rsidR="005375E4">
              <w:t xml:space="preserve"> en tant que marque Benelux mais aussi depuis le 10 mai 2016 en tant que marque de l’Union européenne voit régulièrement des annonces sur le site Amazon relatives à ces fameuses chaussures alors que cette mise en circulation a été faite sans son consentement. </w:t>
            </w:r>
          </w:p>
          <w:p w14:paraId="277B77DC" w14:textId="77777777" w:rsidR="005375E4" w:rsidRDefault="005375E4" w:rsidP="000E128A">
            <w:pPr>
              <w:rPr>
                <w:b/>
                <w:bCs/>
              </w:rPr>
            </w:pPr>
          </w:p>
          <w:p w14:paraId="0E553770" w14:textId="5C52D53B" w:rsidR="000E128A" w:rsidRPr="005375E4" w:rsidRDefault="000E128A" w:rsidP="000E128A">
            <w:r w:rsidRPr="00E8188C">
              <w:rPr>
                <w:b/>
                <w:bCs/>
                <w:u w:val="single"/>
              </w:rPr>
              <w:t>PROCÉDURE</w:t>
            </w:r>
            <w:r>
              <w:rPr>
                <w:b/>
                <w:bCs/>
              </w:rPr>
              <w:t xml:space="preserve"> : </w:t>
            </w:r>
            <w:r w:rsidR="005375E4" w:rsidRPr="005375E4">
              <w:t xml:space="preserve">Le 19 septembre 2019, M. Louboutin introduit </w:t>
            </w:r>
            <w:r w:rsidR="005375E4">
              <w:t>u</w:t>
            </w:r>
            <w:r w:rsidR="005375E4" w:rsidRPr="005375E4">
              <w:t>ne action en contrefaçon de sa marque à l’encontre d’Amazon au sujet de l’usage de signes identiques et de produits similaires à sa marque de l’Union européenne dont il est titulaire et sans son consentement</w:t>
            </w:r>
            <w:r w:rsidR="005375E4">
              <w:t xml:space="preserve">. Louboutin se fonde sur l’article 9, </w:t>
            </w:r>
            <w:r w:rsidR="001C0066">
              <w:t>p</w:t>
            </w:r>
            <w:r w:rsidR="005375E4">
              <w:t xml:space="preserve">aragraphe 2 du </w:t>
            </w:r>
            <w:r w:rsidR="001C0066">
              <w:t>R</w:t>
            </w:r>
            <w:r w:rsidR="005375E4">
              <w:t>èglement européen 2017/1001</w:t>
            </w:r>
            <w:r w:rsidR="005375E4" w:rsidRPr="005375E4">
              <w:t xml:space="preserve"> et considère qu’Amazon ne peut être considéré comme un simple hébergeur au rôle passif alors qu’il apporte une aide significative aux vendeurs tiers dans l’optimisation et la présentation de leurs offres. </w:t>
            </w:r>
            <w:r w:rsidR="005375E4">
              <w:t>Amazon se défend en arguant que cet usage ne peut lui être imputable au sens qu’il est seulement une place de marché, comme l</w:t>
            </w:r>
            <w:r w:rsidR="004861D4">
              <w:t>’</w:t>
            </w:r>
            <w:r w:rsidR="005375E4">
              <w:t xml:space="preserve">a retenu la Cour au sujet de la société eBay au préalable. </w:t>
            </w:r>
            <w:r w:rsidR="00BF1063">
              <w:t xml:space="preserve">Le tribunal d’arrondissement de Luxembourg décide de surseoir à statuer et de poser trois questions préjudicielles à la Cour selon la possibilité qui lui en est faite par l’article 267 du TFUE au sujet de l’interprétation de l’article 9 Paragraphe 2 du règlement 2017/1001. </w:t>
            </w:r>
          </w:p>
          <w:p w14:paraId="588CB15F" w14:textId="77777777" w:rsidR="000E128A" w:rsidRDefault="000E128A" w:rsidP="000E128A">
            <w:pPr>
              <w:rPr>
                <w:b/>
                <w:bCs/>
              </w:rPr>
            </w:pPr>
          </w:p>
          <w:p w14:paraId="40613E2A" w14:textId="4CB0E280" w:rsidR="000E128A" w:rsidRDefault="000E128A" w:rsidP="000E128A">
            <w:r w:rsidRPr="00E8188C">
              <w:rPr>
                <w:b/>
                <w:bCs/>
                <w:u w:val="single"/>
              </w:rPr>
              <w:t>PROBLÈME DE DROIT</w:t>
            </w:r>
            <w:r>
              <w:rPr>
                <w:b/>
                <w:bCs/>
              </w:rPr>
              <w:t> </w:t>
            </w:r>
            <w:r w:rsidRPr="001C0066">
              <w:t>:</w:t>
            </w:r>
            <w:r w:rsidR="004861D4">
              <w:t xml:space="preserve"> Peut-on alors considérer qu’Amazon fasse un usage des produits en intégrant les annonces de vendeurs tiers présentant le signe contrefaisant dans sa propre communication </w:t>
            </w:r>
            <w:r w:rsidR="00E43DB0">
              <w:t>commerciale</w:t>
            </w:r>
            <w:r w:rsidR="004861D4">
              <w:t> ?</w:t>
            </w:r>
          </w:p>
          <w:p w14:paraId="25C4852A" w14:textId="77777777" w:rsidR="004861D4" w:rsidRPr="004861D4" w:rsidRDefault="004861D4" w:rsidP="000E128A"/>
          <w:p w14:paraId="6A0D645A" w14:textId="07A53DF1" w:rsidR="008B546B" w:rsidRPr="000E128A" w:rsidRDefault="000E128A" w:rsidP="000E128A">
            <w:pPr>
              <w:rPr>
                <w:b/>
                <w:bCs/>
              </w:rPr>
            </w:pPr>
            <w:r w:rsidRPr="00E8188C">
              <w:rPr>
                <w:b/>
                <w:bCs/>
                <w:u w:val="single"/>
              </w:rPr>
              <w:t>SOLUTION</w:t>
            </w:r>
            <w:r>
              <w:rPr>
                <w:b/>
                <w:bCs/>
              </w:rPr>
              <w:t xml:space="preserve"> : </w:t>
            </w:r>
            <w:r w:rsidR="00CA5D20" w:rsidRPr="00CA5D20">
              <w:t xml:space="preserve">La Cour retient qu’Amazon fait usage des signes contrefaisants dès lors que l’utilisateur, c’est-à-dire normalement informé et raisonnablement attentif considère </w:t>
            </w:r>
            <w:r w:rsidR="001C0066">
              <w:t>que</w:t>
            </w:r>
            <w:r w:rsidR="00CA5D20" w:rsidRPr="00CA5D20">
              <w:t xml:space="preserve"> </w:t>
            </w:r>
            <w:r w:rsidR="001C0066">
              <w:t xml:space="preserve">ces </w:t>
            </w:r>
            <w:r w:rsidR="00CA5D20" w:rsidRPr="00CA5D20">
              <w:t>produits de la marque contrefaite</w:t>
            </w:r>
            <w:r w:rsidR="001C0066">
              <w:t xml:space="preserve"> sont le fruit d’une commercialisation en son nom et pour son compte. </w:t>
            </w:r>
          </w:p>
        </w:tc>
      </w:tr>
    </w:tbl>
    <w:p w14:paraId="3B8B6D9B" w14:textId="77777777" w:rsidR="004861D4" w:rsidRDefault="004861D4" w:rsidP="000E128A">
      <w:pPr>
        <w:rPr>
          <w:b/>
          <w:bCs/>
          <w:u w:val="single"/>
        </w:rPr>
      </w:pPr>
    </w:p>
    <w:p w14:paraId="5636CF8B" w14:textId="77777777" w:rsidR="004861D4" w:rsidRDefault="004861D4" w:rsidP="000E128A">
      <w:pPr>
        <w:rPr>
          <w:b/>
          <w:bCs/>
          <w:u w:val="single"/>
        </w:rPr>
      </w:pPr>
    </w:p>
    <w:p w14:paraId="60D3443A" w14:textId="6EF8B4A3" w:rsidR="000E128A" w:rsidRDefault="001C0066" w:rsidP="000E128A">
      <w:r w:rsidRPr="00E8188C">
        <w:rPr>
          <w:b/>
          <w:bCs/>
          <w:u w:val="single"/>
        </w:rPr>
        <w:lastRenderedPageBreak/>
        <w:t>NOTE</w:t>
      </w:r>
      <w:r w:rsidRPr="00E8188C">
        <w:rPr>
          <w:u w:val="single"/>
        </w:rPr>
        <w:t> </w:t>
      </w:r>
      <w:r>
        <w:t xml:space="preserve">: </w:t>
      </w:r>
    </w:p>
    <w:p w14:paraId="01D744B8" w14:textId="5DFAED1D" w:rsidR="00842410" w:rsidRDefault="00842410" w:rsidP="000E128A">
      <w:pPr>
        <w:sectPr w:rsidR="00842410" w:rsidSect="008C20F3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B20C0E9" w14:textId="467106A2" w:rsidR="001A1FFB" w:rsidRPr="00E8188C" w:rsidRDefault="00E91DC7" w:rsidP="001A1FFB">
      <w:pPr>
        <w:spacing w:line="276" w:lineRule="auto"/>
        <w:rPr>
          <w:b/>
          <w:bCs/>
        </w:rPr>
      </w:pPr>
      <w:r w:rsidRPr="00E8188C">
        <w:rPr>
          <w:b/>
          <w:bCs/>
        </w:rPr>
        <w:t>Le refus de considérer Amazon comme une simple place de marché, intermédiaire neutre à la vente de produits contrefaisants</w:t>
      </w:r>
    </w:p>
    <w:p w14:paraId="52F53539" w14:textId="77777777" w:rsidR="00E91DC7" w:rsidRPr="00E8188C" w:rsidRDefault="00C51A2A" w:rsidP="000E2DEC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 xml:space="preserve">L’article 9, Paragraphe 2 du Règlement 2017/1001 </w:t>
      </w:r>
      <w:r w:rsidR="00544F40" w:rsidRPr="00E8188C">
        <w:rPr>
          <w:sz w:val="22"/>
          <w:szCs w:val="22"/>
        </w:rPr>
        <w:t>précise que le titulaire d’une marque de l’Union européenne a le droit d’interdire tout usage d’un signe identique à sa marque pour les produits et services déposés, dans la vie des affaires. Toutefois, aucune définition</w:t>
      </w:r>
      <w:r w:rsidRPr="00E8188C">
        <w:rPr>
          <w:sz w:val="22"/>
          <w:szCs w:val="22"/>
        </w:rPr>
        <w:t xml:space="preserve"> légale de la notion de « faire usage »</w:t>
      </w:r>
      <w:r w:rsidR="00544F40" w:rsidRPr="00E8188C">
        <w:rPr>
          <w:sz w:val="22"/>
          <w:szCs w:val="22"/>
        </w:rPr>
        <w:t xml:space="preserve"> n’est explicitée</w:t>
      </w:r>
      <w:r w:rsidRPr="00E8188C">
        <w:rPr>
          <w:sz w:val="22"/>
          <w:szCs w:val="22"/>
        </w:rPr>
        <w:t>, la jurisprudence l’entend comme « </w:t>
      </w:r>
      <w:r w:rsidRPr="00E8188C">
        <w:rPr>
          <w:i/>
          <w:iCs/>
          <w:sz w:val="22"/>
          <w:szCs w:val="22"/>
        </w:rPr>
        <w:t>un comportement actif et une maitrise directe ou indirecte de l’acte constituant l’usage</w:t>
      </w:r>
      <w:r w:rsidRPr="00E8188C">
        <w:rPr>
          <w:sz w:val="22"/>
          <w:szCs w:val="22"/>
        </w:rPr>
        <w:t xml:space="preserve"> ». </w:t>
      </w:r>
    </w:p>
    <w:p w14:paraId="705DF8F7" w14:textId="77B65D11" w:rsidR="000E2DEC" w:rsidRPr="00E8188C" w:rsidRDefault="00544F40" w:rsidP="000E2DEC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>Amazon, en l’espèce, plaide que les produits contrefaisants Louboutin proposés sur sa plateforme sont le fruit de la vente de tiers</w:t>
      </w:r>
      <w:r w:rsidR="00572E1B" w:rsidRPr="00E8188C">
        <w:rPr>
          <w:sz w:val="22"/>
          <w:szCs w:val="22"/>
        </w:rPr>
        <w:t xml:space="preserve">, se positionnant en tant que </w:t>
      </w:r>
      <w:r w:rsidR="009E2013" w:rsidRPr="00E8188C">
        <w:rPr>
          <w:sz w:val="22"/>
          <w:szCs w:val="22"/>
        </w:rPr>
        <w:t>simple hébergeur, d’intermédiaire neutre à cette vente</w:t>
      </w:r>
      <w:r w:rsidRPr="00E8188C">
        <w:rPr>
          <w:sz w:val="22"/>
          <w:szCs w:val="22"/>
        </w:rPr>
        <w:t xml:space="preserve">. Or, </w:t>
      </w:r>
      <w:r w:rsidR="000E2DEC" w:rsidRPr="00E8188C">
        <w:rPr>
          <w:sz w:val="22"/>
          <w:szCs w:val="22"/>
        </w:rPr>
        <w:t xml:space="preserve">Amazon présente l’ensemble des annonces de manière uniforme sur son site apposé de son propre </w:t>
      </w:r>
      <w:r w:rsidRPr="00E8188C">
        <w:rPr>
          <w:sz w:val="22"/>
          <w:szCs w:val="22"/>
        </w:rPr>
        <w:t>logo et l’exploitant va plus loin en proposant des services supplémentaires aux vendeurs tiers telles que la gestion de la livraison ou encore le stockage des marchandises.</w:t>
      </w:r>
      <w:r w:rsidR="009E2013" w:rsidRPr="00E8188C">
        <w:rPr>
          <w:sz w:val="22"/>
          <w:szCs w:val="22"/>
        </w:rPr>
        <w:t xml:space="preserve"> </w:t>
      </w:r>
    </w:p>
    <w:p w14:paraId="4364556B" w14:textId="2A1D4379" w:rsidR="009E2013" w:rsidRPr="00E8188C" w:rsidRDefault="009E2013" w:rsidP="000E2DEC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>Sa défense qui invoque les arrêts précédents rendus au sujet d’eBay comme simple place de marché et par conséquent irresponsable pour l’usage d’une signe identique à la marque en cause « </w:t>
      </w:r>
      <w:r w:rsidRPr="00E8188C">
        <w:rPr>
          <w:i/>
          <w:iCs/>
          <w:sz w:val="22"/>
          <w:szCs w:val="22"/>
        </w:rPr>
        <w:t>par les vendeurs tiers ayant recours à sa place de marché en ligne</w:t>
      </w:r>
      <w:r w:rsidRPr="00E8188C">
        <w:rPr>
          <w:sz w:val="22"/>
          <w:szCs w:val="22"/>
        </w:rPr>
        <w:t> » est écartée. En effet, le comportement d’Amazon ne peut être assimilé à une simple place de marché comme le serait Rakuten ou eBay</w:t>
      </w:r>
      <w:r w:rsidR="00572E1B" w:rsidRPr="00E8188C">
        <w:rPr>
          <w:sz w:val="22"/>
          <w:szCs w:val="22"/>
        </w:rPr>
        <w:t xml:space="preserve"> qui n’exercent aucune activité de vente de produit</w:t>
      </w:r>
      <w:r w:rsidR="000E2DEC" w:rsidRPr="00E8188C">
        <w:rPr>
          <w:sz w:val="22"/>
          <w:szCs w:val="22"/>
        </w:rPr>
        <w:t>s</w:t>
      </w:r>
      <w:r w:rsidR="00572E1B" w:rsidRPr="00E8188C">
        <w:rPr>
          <w:sz w:val="22"/>
          <w:szCs w:val="22"/>
        </w:rPr>
        <w:t xml:space="preserve"> et se bornent à référencer des annonces de vendeurs tiers</w:t>
      </w:r>
      <w:r w:rsidRPr="00E8188C">
        <w:rPr>
          <w:sz w:val="22"/>
          <w:szCs w:val="22"/>
        </w:rPr>
        <w:t xml:space="preserve">. Le géant joue un véritable rôle actif dans l’usage du signe litigieux, </w:t>
      </w:r>
      <w:r w:rsidR="00572E1B" w:rsidRPr="00E8188C">
        <w:rPr>
          <w:sz w:val="22"/>
          <w:szCs w:val="22"/>
        </w:rPr>
        <w:t xml:space="preserve">par son modèle commercial « hybride » consistant à </w:t>
      </w:r>
      <w:r w:rsidR="00572E1B" w:rsidRPr="00E8188C">
        <w:rPr>
          <w:sz w:val="22"/>
          <w:szCs w:val="22"/>
        </w:rPr>
        <w:t xml:space="preserve">l’intégration d’annonces de vendeurs tiers dans sa propre communication commerciale. </w:t>
      </w:r>
    </w:p>
    <w:p w14:paraId="4F0ACBA3" w14:textId="77777777" w:rsidR="000E2DEC" w:rsidRPr="00E8188C" w:rsidRDefault="000E2DEC" w:rsidP="000E2DEC">
      <w:pPr>
        <w:spacing w:line="276" w:lineRule="auto"/>
        <w:rPr>
          <w:sz w:val="22"/>
          <w:szCs w:val="22"/>
        </w:rPr>
      </w:pPr>
    </w:p>
    <w:p w14:paraId="2BA6B03F" w14:textId="018EACE5" w:rsidR="009E2013" w:rsidRPr="001A1FFB" w:rsidRDefault="009E2013" w:rsidP="001A1FFB">
      <w:pPr>
        <w:spacing w:line="276" w:lineRule="auto"/>
        <w:rPr>
          <w:b/>
          <w:bCs/>
        </w:rPr>
      </w:pPr>
      <w:r w:rsidRPr="001A1FFB">
        <w:rPr>
          <w:b/>
          <w:bCs/>
        </w:rPr>
        <w:t>La perception de l’utilisateur « normalement informé et raisonnablement attentif » comme élément essentiel de l’appréciation de la « communication commerciale »</w:t>
      </w:r>
    </w:p>
    <w:p w14:paraId="0AEC7180" w14:textId="026BEBC5" w:rsidR="00544F40" w:rsidRPr="00E8188C" w:rsidRDefault="00544F40" w:rsidP="000E2DEC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 xml:space="preserve">La Cour retient </w:t>
      </w:r>
      <w:r w:rsidR="000E2DEC" w:rsidRPr="00E8188C">
        <w:rPr>
          <w:sz w:val="22"/>
          <w:szCs w:val="22"/>
        </w:rPr>
        <w:t xml:space="preserve">comme condition de responsabilité d’un exploitant </w:t>
      </w:r>
      <w:r w:rsidRPr="00E8188C">
        <w:rPr>
          <w:sz w:val="22"/>
          <w:szCs w:val="22"/>
        </w:rPr>
        <w:t xml:space="preserve">d’un site Internet de vente en ligne </w:t>
      </w:r>
      <w:r w:rsidR="000E2DEC" w:rsidRPr="00E8188C">
        <w:rPr>
          <w:sz w:val="22"/>
          <w:szCs w:val="22"/>
        </w:rPr>
        <w:t xml:space="preserve">dans le cas où </w:t>
      </w:r>
      <w:r w:rsidRPr="00E8188C">
        <w:rPr>
          <w:sz w:val="22"/>
          <w:szCs w:val="22"/>
        </w:rPr>
        <w:t xml:space="preserve">des produits </w:t>
      </w:r>
      <w:r w:rsidR="000E2DEC" w:rsidRPr="00E8188C">
        <w:rPr>
          <w:sz w:val="22"/>
          <w:szCs w:val="22"/>
        </w:rPr>
        <w:t xml:space="preserve">contrefaisants le signe distinctif d’une marque sont proposés par des vendeurs tiers, </w:t>
      </w:r>
      <w:r w:rsidRPr="00E8188C">
        <w:rPr>
          <w:sz w:val="22"/>
          <w:szCs w:val="22"/>
        </w:rPr>
        <w:t>que « </w:t>
      </w:r>
      <w:r w:rsidRPr="00E8188C">
        <w:rPr>
          <w:i/>
          <w:iCs/>
          <w:sz w:val="22"/>
          <w:szCs w:val="22"/>
        </w:rPr>
        <w:t>l’utilisateur normalement informé et raisonnablement attentif de ce site établit un lien entre les services de cet exploitant et le signe en question</w:t>
      </w:r>
      <w:r w:rsidRPr="00E8188C">
        <w:rPr>
          <w:sz w:val="22"/>
          <w:szCs w:val="22"/>
        </w:rPr>
        <w:t xml:space="preserve"> ». </w:t>
      </w:r>
      <w:r w:rsidR="007D15BF" w:rsidRPr="00E8188C">
        <w:rPr>
          <w:sz w:val="22"/>
          <w:szCs w:val="22"/>
        </w:rPr>
        <w:t>En interprétant le droit européen, la CJUE laisse à la juridiction nationale d’apprécier au cas par cas en se fondant sur le critère établi.</w:t>
      </w:r>
    </w:p>
    <w:p w14:paraId="05938F27" w14:textId="11E05DCE" w:rsidR="00C51A2A" w:rsidRPr="00E8188C" w:rsidRDefault="007D15BF" w:rsidP="000E2DEC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>La cour insiste sur le fait que l</w:t>
      </w:r>
      <w:r w:rsidR="00544F40" w:rsidRPr="00E8188C">
        <w:rPr>
          <w:sz w:val="22"/>
          <w:szCs w:val="22"/>
        </w:rPr>
        <w:t>es annonces de produits frauduleux</w:t>
      </w:r>
      <w:r w:rsidR="000E2DEC" w:rsidRPr="00E8188C">
        <w:rPr>
          <w:sz w:val="22"/>
          <w:szCs w:val="22"/>
        </w:rPr>
        <w:t xml:space="preserve"> en cause</w:t>
      </w:r>
      <w:r w:rsidR="00544F40" w:rsidRPr="00E8188C">
        <w:rPr>
          <w:sz w:val="22"/>
          <w:szCs w:val="22"/>
        </w:rPr>
        <w:t xml:space="preserve"> font entièrement partie de la « </w:t>
      </w:r>
      <w:r w:rsidR="00544F40" w:rsidRPr="00E8188C">
        <w:rPr>
          <w:i/>
          <w:iCs/>
          <w:sz w:val="22"/>
          <w:szCs w:val="22"/>
        </w:rPr>
        <w:t>communication commerciale</w:t>
      </w:r>
      <w:r w:rsidR="00544F40" w:rsidRPr="00E8188C">
        <w:rPr>
          <w:sz w:val="22"/>
          <w:szCs w:val="22"/>
        </w:rPr>
        <w:t xml:space="preserve"> » du géant Amazon qui induit </w:t>
      </w:r>
      <w:r w:rsidR="009E2013" w:rsidRPr="00E8188C">
        <w:rPr>
          <w:sz w:val="22"/>
          <w:szCs w:val="22"/>
        </w:rPr>
        <w:t xml:space="preserve">que le signe identique à la marque apparaisse aux yeux des tiers comme une partie intégrante de l’activité de l’entreprise. </w:t>
      </w:r>
    </w:p>
    <w:p w14:paraId="01D3A4C7" w14:textId="57AEB8A6" w:rsidR="000E2DEC" w:rsidRPr="00E8188C" w:rsidRDefault="000E2DEC" w:rsidP="00137DF4">
      <w:pPr>
        <w:spacing w:line="276" w:lineRule="auto"/>
        <w:rPr>
          <w:sz w:val="22"/>
          <w:szCs w:val="22"/>
        </w:rPr>
      </w:pPr>
      <w:r w:rsidRPr="00E8188C">
        <w:rPr>
          <w:sz w:val="22"/>
          <w:szCs w:val="22"/>
        </w:rPr>
        <w:t xml:space="preserve">Cette décision rendue en grande chambre </w:t>
      </w:r>
      <w:r w:rsidR="007D15BF" w:rsidRPr="00E8188C">
        <w:rPr>
          <w:sz w:val="22"/>
          <w:szCs w:val="22"/>
        </w:rPr>
        <w:t>se dessine en faveur d’une</w:t>
      </w:r>
      <w:r w:rsidRPr="00E8188C">
        <w:rPr>
          <w:sz w:val="22"/>
          <w:szCs w:val="22"/>
        </w:rPr>
        <w:t xml:space="preserve"> responsabilité d’Amazon pour l’usage de la marque Louboutin, </w:t>
      </w:r>
      <w:r w:rsidR="007D15BF" w:rsidRPr="00E8188C">
        <w:rPr>
          <w:sz w:val="22"/>
          <w:szCs w:val="22"/>
        </w:rPr>
        <w:t xml:space="preserve">et confirme la position européenne dans </w:t>
      </w:r>
      <w:r w:rsidRPr="00E8188C">
        <w:rPr>
          <w:sz w:val="22"/>
          <w:szCs w:val="22"/>
        </w:rPr>
        <w:t xml:space="preserve">la lutte contre la contrefaçon en ligne. </w:t>
      </w:r>
    </w:p>
    <w:p w14:paraId="64EEA639" w14:textId="326BC474" w:rsidR="00137DF4" w:rsidRDefault="00137DF4" w:rsidP="00137DF4">
      <w:pPr>
        <w:spacing w:line="276" w:lineRule="auto"/>
      </w:pPr>
    </w:p>
    <w:p w14:paraId="6B5C779F" w14:textId="3F141142" w:rsidR="00137DF4" w:rsidRPr="00137DF4" w:rsidRDefault="00137DF4" w:rsidP="00137DF4">
      <w:pPr>
        <w:spacing w:line="240" w:lineRule="auto"/>
        <w:rPr>
          <w:b/>
          <w:bCs/>
        </w:rPr>
      </w:pPr>
      <w:r w:rsidRPr="00137DF4">
        <w:rPr>
          <w:b/>
          <w:bCs/>
        </w:rPr>
        <w:t>BONNEFOY Marion</w:t>
      </w:r>
    </w:p>
    <w:p w14:paraId="7FE6F886" w14:textId="72495127" w:rsidR="00137DF4" w:rsidRPr="00E8188C" w:rsidRDefault="00137DF4" w:rsidP="00137DF4">
      <w:pPr>
        <w:spacing w:line="240" w:lineRule="auto"/>
        <w:rPr>
          <w:sz w:val="21"/>
          <w:szCs w:val="21"/>
        </w:rPr>
      </w:pPr>
      <w:r w:rsidRPr="00E8188C">
        <w:rPr>
          <w:sz w:val="21"/>
          <w:szCs w:val="21"/>
        </w:rPr>
        <w:t xml:space="preserve">Master 2, Droit de la création artistique et numérique </w:t>
      </w:r>
    </w:p>
    <w:p w14:paraId="148E275F" w14:textId="00FF9EFF" w:rsidR="00137DF4" w:rsidRPr="00E8188C" w:rsidRDefault="00137DF4" w:rsidP="00137DF4">
      <w:pPr>
        <w:spacing w:line="240" w:lineRule="auto"/>
        <w:rPr>
          <w:sz w:val="21"/>
          <w:szCs w:val="21"/>
        </w:rPr>
      </w:pPr>
      <w:r w:rsidRPr="00E8188C">
        <w:rPr>
          <w:sz w:val="21"/>
          <w:szCs w:val="21"/>
        </w:rPr>
        <w:t>AIX-MARSEILLE UNIVERSITÉ – IREDIC 2023</w:t>
      </w:r>
      <w:r w:rsidR="00605840">
        <w:rPr>
          <w:sz w:val="21"/>
          <w:szCs w:val="21"/>
        </w:rPr>
        <w:t xml:space="preserve"> – LID2MS</w:t>
      </w:r>
    </w:p>
    <w:sectPr w:rsidR="00137DF4" w:rsidRPr="00E8188C" w:rsidSect="00842410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495"/>
    <w:multiLevelType w:val="hybridMultilevel"/>
    <w:tmpl w:val="798EA6B8"/>
    <w:lvl w:ilvl="0" w:tplc="6F6CD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7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04"/>
    <w:rsid w:val="000963D0"/>
    <w:rsid w:val="000E128A"/>
    <w:rsid w:val="000E2DEC"/>
    <w:rsid w:val="00137DF4"/>
    <w:rsid w:val="001A1FFB"/>
    <w:rsid w:val="001C0066"/>
    <w:rsid w:val="00205FCB"/>
    <w:rsid w:val="00432604"/>
    <w:rsid w:val="004861D4"/>
    <w:rsid w:val="005375E4"/>
    <w:rsid w:val="00544F40"/>
    <w:rsid w:val="00572E1B"/>
    <w:rsid w:val="005A44F6"/>
    <w:rsid w:val="00605840"/>
    <w:rsid w:val="00796B1D"/>
    <w:rsid w:val="007D15BF"/>
    <w:rsid w:val="00831EC7"/>
    <w:rsid w:val="00842410"/>
    <w:rsid w:val="008B546B"/>
    <w:rsid w:val="008C20F3"/>
    <w:rsid w:val="00904A72"/>
    <w:rsid w:val="009E2013"/>
    <w:rsid w:val="00AB5D14"/>
    <w:rsid w:val="00BF1063"/>
    <w:rsid w:val="00C01A7B"/>
    <w:rsid w:val="00C062BB"/>
    <w:rsid w:val="00C51A2A"/>
    <w:rsid w:val="00CA5D20"/>
    <w:rsid w:val="00D14D92"/>
    <w:rsid w:val="00DB0899"/>
    <w:rsid w:val="00E03789"/>
    <w:rsid w:val="00E43DB0"/>
    <w:rsid w:val="00E8188C"/>
    <w:rsid w:val="00E91DC7"/>
    <w:rsid w:val="00EA08CA"/>
    <w:rsid w:val="00F1039E"/>
    <w:rsid w:val="00F91394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289F5"/>
  <w15:chartTrackingRefBased/>
  <w15:docId w15:val="{705EC3C3-71A3-3D4B-8C12-300926C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aliases w:val="MB"/>
    <w:basedOn w:val="Normal"/>
    <w:next w:val="Normal"/>
    <w:link w:val="CitationintenseCar"/>
    <w:uiPriority w:val="30"/>
    <w:qFormat/>
    <w:rsid w:val="00831EC7"/>
    <w:pPr>
      <w:pBdr>
        <w:top w:val="single" w:sz="4" w:space="10" w:color="000000" w:themeColor="text1"/>
        <w:bottom w:val="single" w:sz="4" w:space="10" w:color="000000" w:themeColor="text1"/>
      </w:pBdr>
      <w:spacing w:before="360" w:after="360" w:line="259" w:lineRule="auto"/>
      <w:ind w:left="864" w:right="864"/>
      <w:jc w:val="center"/>
    </w:pPr>
    <w:rPr>
      <w:rFonts w:ascii="Copperplate" w:hAnsi="Copperplate"/>
      <w:iCs/>
      <w:color w:val="000000" w:themeColor="text1"/>
      <w:u w:val="single"/>
    </w:rPr>
  </w:style>
  <w:style w:type="character" w:customStyle="1" w:styleId="CitationintenseCar">
    <w:name w:val="Citation intense Car"/>
    <w:aliases w:val="MB Car"/>
    <w:basedOn w:val="Policepardfaut"/>
    <w:link w:val="Citationintense"/>
    <w:uiPriority w:val="30"/>
    <w:rsid w:val="00831EC7"/>
    <w:rPr>
      <w:rFonts w:ascii="Copperplate" w:hAnsi="Copperplate"/>
      <w:iCs/>
      <w:color w:val="000000" w:themeColor="text1"/>
      <w:u w:val="single"/>
    </w:rPr>
  </w:style>
  <w:style w:type="table" w:styleId="Grilledutableau">
    <w:name w:val="Table Grid"/>
    <w:basedOn w:val="TableauNormal"/>
    <w:uiPriority w:val="39"/>
    <w:rsid w:val="000E12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8B546B"/>
    <w:rPr>
      <w:i/>
      <w:iCs/>
    </w:rPr>
  </w:style>
  <w:style w:type="paragraph" w:styleId="Paragraphedeliste">
    <w:name w:val="List Paragraph"/>
    <w:basedOn w:val="Normal"/>
    <w:uiPriority w:val="34"/>
    <w:qFormat/>
    <w:rsid w:val="00C0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BONNEFOY Marion</dc:creator>
  <cp:keywords/>
  <dc:description/>
  <cp:lastModifiedBy>BONNEFOY Marion</cp:lastModifiedBy>
  <cp:revision>19</cp:revision>
  <dcterms:created xsi:type="dcterms:W3CDTF">2023-01-06T16:29:00Z</dcterms:created>
  <dcterms:modified xsi:type="dcterms:W3CDTF">2023-02-23T19:30:00Z</dcterms:modified>
</cp:coreProperties>
</file>