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AD25C" w14:textId="42876157" w:rsidR="002442DF" w:rsidRPr="00511A87" w:rsidRDefault="00291B7C" w:rsidP="00194EA4">
      <w:pPr>
        <w:jc w:val="center"/>
        <w:rPr>
          <w:rFonts w:ascii="Times New Roman" w:hAnsi="Times New Roman" w:cs="Times New Roman"/>
          <w:i/>
          <w:sz w:val="22"/>
          <w:szCs w:val="22"/>
          <w:u w:val="single"/>
        </w:rPr>
      </w:pPr>
      <w:r w:rsidRPr="00511A87">
        <w:rPr>
          <w:rFonts w:ascii="Times New Roman" w:hAnsi="Times New Roman" w:cs="Times New Roman"/>
          <w:i/>
          <w:sz w:val="22"/>
          <w:szCs w:val="22"/>
          <w:u w:val="single"/>
        </w:rPr>
        <w:t>Cour de cassation - Chambre commerciale : Arrêt 6 décembre 2023 / n°22-11.071</w:t>
      </w:r>
    </w:p>
    <w:p w14:paraId="4A94BD4E" w14:textId="77777777" w:rsidR="00291B7C" w:rsidRPr="00511A87" w:rsidRDefault="0046152A" w:rsidP="00291B7C">
      <w:pPr>
        <w:jc w:val="center"/>
        <w:rPr>
          <w:rFonts w:ascii="Times New Roman" w:hAnsi="Times New Roman" w:cs="Times New Roman"/>
          <w:i/>
          <w:sz w:val="22"/>
          <w:szCs w:val="22"/>
          <w:u w:val="single"/>
        </w:rPr>
      </w:pPr>
      <w:r w:rsidRPr="00511A87">
        <w:rPr>
          <w:rFonts w:ascii="Times New Roman" w:hAnsi="Times New Roman" w:cs="Times New Roman"/>
          <w:i/>
          <w:noProof/>
          <w:sz w:val="22"/>
          <w:szCs w:val="22"/>
          <w:u w:val="single"/>
          <w:lang w:eastAsia="fr-FR"/>
        </w:rPr>
        <mc:AlternateContent>
          <mc:Choice Requires="wps">
            <w:drawing>
              <wp:anchor distT="0" distB="0" distL="114300" distR="114300" simplePos="0" relativeHeight="251659264" behindDoc="0" locked="0" layoutInCell="1" allowOverlap="1" wp14:anchorId="3CCE1DA1" wp14:editId="4A5390D0">
                <wp:simplePos x="0" y="0"/>
                <wp:positionH relativeFrom="column">
                  <wp:posOffset>-734695</wp:posOffset>
                </wp:positionH>
                <wp:positionV relativeFrom="paragraph">
                  <wp:posOffset>193040</wp:posOffset>
                </wp:positionV>
                <wp:extent cx="7200900" cy="570230"/>
                <wp:effectExtent l="0" t="0" r="38100" b="13970"/>
                <wp:wrapThrough wrapText="bothSides">
                  <wp:wrapPolygon edited="0">
                    <wp:start x="0" y="0"/>
                    <wp:lineTo x="0" y="21167"/>
                    <wp:lineTo x="21638" y="21167"/>
                    <wp:lineTo x="21638" y="0"/>
                    <wp:lineTo x="0" y="0"/>
                  </wp:wrapPolygon>
                </wp:wrapThrough>
                <wp:docPr id="2" name="Rectangle 2"/>
                <wp:cNvGraphicFramePr/>
                <a:graphic xmlns:a="http://schemas.openxmlformats.org/drawingml/2006/main">
                  <a:graphicData uri="http://schemas.microsoft.com/office/word/2010/wordprocessingShape">
                    <wps:wsp>
                      <wps:cNvSpPr/>
                      <wps:spPr>
                        <a:xfrm>
                          <a:off x="0" y="0"/>
                          <a:ext cx="7200900" cy="57023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A6B1C8" w14:textId="77777777" w:rsidR="0046152A" w:rsidRDefault="0046152A" w:rsidP="0046152A">
                            <w:pPr>
                              <w:rPr>
                                <w:rFonts w:ascii="Times New Roman" w:hAnsi="Times New Roman" w:cs="Times New Roman"/>
                                <w:i/>
                                <w:u w:val="single"/>
                              </w:rPr>
                            </w:pPr>
                            <w:r w:rsidRPr="006B6778">
                              <w:rPr>
                                <w:rFonts w:ascii="Times New Roman" w:hAnsi="Times New Roman" w:cs="Times New Roman"/>
                                <w:color w:val="000000" w:themeColor="text1"/>
                              </w:rPr>
                              <w:t>MOTS CLEFS : Contrefaçon – Marques – Requête en saisie contrefaçon</w:t>
                            </w:r>
                            <w:r>
                              <w:rPr>
                                <w:rFonts w:ascii="Times New Roman" w:hAnsi="Times New Roman" w:cs="Times New Roman"/>
                                <w:color w:val="000000" w:themeColor="text1"/>
                              </w:rPr>
                              <w:t xml:space="preserve"> – Nullité des opérations de saisie contrefaçon – Procès-verbaux de saisie contrefaçon </w:t>
                            </w:r>
                          </w:p>
                          <w:p w14:paraId="06FF1F80" w14:textId="77777777" w:rsidR="0046152A" w:rsidRDefault="0046152A" w:rsidP="004615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CE1DA1" id="Rectangle 2" o:spid="_x0000_s1026" style="position:absolute;left:0;text-align:left;margin-left:-57.85pt;margin-top:15.2pt;width:567pt;height:4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" fillcolor="#d8d8d8 [2732]" strokecolor="#d8d8d8 [2732]" strokeweight="1pt">
                <v:textbox>
                  <w:txbxContent>
                    <w:p w14:paraId="25A6B1C8" w14:textId="77777777" w:rsidR="0046152A" w:rsidRDefault="0046152A" w:rsidP="0046152A">
                      <w:pPr>
                        <w:rPr>
                          <w:rFonts w:ascii="Times New Roman" w:hAnsi="Times New Roman" w:cs="Times New Roman"/>
                          <w:i/>
                          <w:u w:val="single"/>
                        </w:rPr>
                      </w:pPr>
                      <w:r w:rsidRPr="006B6778">
                        <w:rPr>
                          <w:rFonts w:ascii="Times New Roman" w:hAnsi="Times New Roman" w:cs="Times New Roman"/>
                          <w:color w:val="000000" w:themeColor="text1"/>
                        </w:rPr>
                        <w:t>MOTS CLEFS : Contrefaçon – Marques – Requête en saisie contrefaçon</w:t>
                      </w:r>
                      <w:r>
                        <w:rPr>
                          <w:rFonts w:ascii="Times New Roman" w:hAnsi="Times New Roman" w:cs="Times New Roman"/>
                          <w:color w:val="000000" w:themeColor="text1"/>
                        </w:rPr>
                        <w:t xml:space="preserve"> – Nullité des opérations de saisie contrefaçon – Procès-verbaux de saisie contrefaçon </w:t>
                      </w:r>
                    </w:p>
                    <w:p w14:paraId="06FF1F80" w14:textId="77777777" w:rsidR="0046152A" w:rsidRDefault="0046152A" w:rsidP="0046152A">
                      <w:pPr>
                        <w:jc w:val="center"/>
                      </w:pPr>
                    </w:p>
                  </w:txbxContent>
                </v:textbox>
                <w10:wrap type="through"/>
              </v:rect>
            </w:pict>
          </mc:Fallback>
        </mc:AlternateContent>
      </w:r>
    </w:p>
    <w:p w14:paraId="472F47C8" w14:textId="77777777" w:rsidR="006B6778" w:rsidRPr="00511A87" w:rsidRDefault="006B6778" w:rsidP="0046152A">
      <w:pPr>
        <w:rPr>
          <w:rFonts w:ascii="Times New Roman" w:hAnsi="Times New Roman" w:cs="Times New Roman"/>
          <w:i/>
          <w:sz w:val="22"/>
          <w:szCs w:val="22"/>
          <w:u w:val="single"/>
        </w:rPr>
      </w:pPr>
    </w:p>
    <w:p w14:paraId="7BE19374" w14:textId="0B0810BF" w:rsidR="00EA4228" w:rsidRPr="00511A87" w:rsidRDefault="00EA4228" w:rsidP="00EA4228">
      <w:pPr>
        <w:jc w:val="center"/>
        <w:rPr>
          <w:rFonts w:ascii="Times New Roman" w:hAnsi="Times New Roman" w:cs="Times New Roman"/>
          <w:i/>
          <w:sz w:val="22"/>
          <w:szCs w:val="22"/>
        </w:rPr>
      </w:pPr>
      <w:r w:rsidRPr="00511A87">
        <w:rPr>
          <w:rFonts w:ascii="Times New Roman" w:hAnsi="Times New Roman" w:cs="Times New Roman"/>
          <w:i/>
          <w:sz w:val="22"/>
          <w:szCs w:val="22"/>
        </w:rPr>
        <w:t>Une nécessaire transparence dans la procédure de requête en saisie contrefaçon</w:t>
      </w:r>
    </w:p>
    <w:p w14:paraId="17E2B424" w14:textId="77777777" w:rsidR="0046152A" w:rsidRPr="00511A87" w:rsidRDefault="0046152A" w:rsidP="0046152A">
      <w:pPr>
        <w:rPr>
          <w:rFonts w:ascii="Times New Roman" w:hAnsi="Times New Roman" w:cs="Times New Roman"/>
          <w:i/>
          <w:sz w:val="22"/>
          <w:szCs w:val="22"/>
          <w:u w:val="single"/>
        </w:rPr>
      </w:pPr>
    </w:p>
    <w:p w14:paraId="4F7B4627" w14:textId="77777777" w:rsidR="00C36F99" w:rsidRDefault="00C36F99" w:rsidP="0046152A">
      <w:pPr>
        <w:rPr>
          <w:rFonts w:ascii="Times New Roman" w:hAnsi="Times New Roman" w:cs="Times New Roman"/>
          <w:i/>
          <w:sz w:val="22"/>
          <w:szCs w:val="22"/>
          <w:u w:val="single"/>
        </w:rPr>
      </w:pPr>
    </w:p>
    <w:p w14:paraId="0C548354" w14:textId="10079C68" w:rsidR="00883D3E" w:rsidRPr="00883D3E" w:rsidRDefault="001E4E4F" w:rsidP="0046152A">
      <w:pPr>
        <w:rPr>
          <w:rFonts w:ascii="Times New Roman" w:hAnsi="Times New Roman" w:cs="Times New Roman"/>
          <w:sz w:val="22"/>
          <w:szCs w:val="22"/>
        </w:rPr>
      </w:pPr>
      <w:r>
        <w:rPr>
          <w:rFonts w:ascii="Times New Roman" w:hAnsi="Times New Roman" w:cs="Times New Roman"/>
          <w:sz w:val="22"/>
          <w:szCs w:val="22"/>
        </w:rPr>
        <w:t xml:space="preserve">La loyauté est un principe selon lequel le juge et les parties doivent, en procédure, faire preuve de bonne foi et de probité. </w:t>
      </w:r>
      <w:r w:rsidR="00883D3E">
        <w:rPr>
          <w:rFonts w:ascii="Times New Roman" w:hAnsi="Times New Roman" w:cs="Times New Roman"/>
          <w:sz w:val="22"/>
          <w:szCs w:val="22"/>
        </w:rPr>
        <w:t xml:space="preserve">Dans une décision en date du 6 décembre 2023, la chambre commerciale de la Cour de cassation, à l’occasion d’un litige opposant la société Puma à la société Carrefour, clarifie l’application du devoir de loyauté en matière de procédure de saisie-contrefaçon. </w:t>
      </w:r>
    </w:p>
    <w:p w14:paraId="6F258B3D" w14:textId="77777777" w:rsidR="0046152A" w:rsidRPr="00511A87" w:rsidRDefault="0046152A" w:rsidP="0046152A">
      <w:pPr>
        <w:rPr>
          <w:rFonts w:ascii="Times New Roman" w:hAnsi="Times New Roman" w:cs="Times New Roman"/>
          <w:i/>
          <w:sz w:val="22"/>
          <w:szCs w:val="22"/>
          <w:u w:val="single"/>
        </w:rPr>
      </w:pPr>
    </w:p>
    <w:p w14:paraId="0E5B8BEA" w14:textId="658116F3" w:rsidR="006B6778" w:rsidRPr="00511A87" w:rsidRDefault="006B6778" w:rsidP="0002525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2"/>
          <w:szCs w:val="22"/>
        </w:rPr>
      </w:pPr>
      <w:r w:rsidRPr="00511A87">
        <w:rPr>
          <w:rFonts w:ascii="Times New Roman" w:hAnsi="Times New Roman" w:cs="Times New Roman"/>
          <w:b/>
          <w:sz w:val="22"/>
          <w:szCs w:val="22"/>
        </w:rPr>
        <w:t>Faits</w:t>
      </w:r>
      <w:r w:rsidRPr="00511A87">
        <w:rPr>
          <w:rFonts w:ascii="Times New Roman" w:hAnsi="Times New Roman" w:cs="Times New Roman"/>
          <w:sz w:val="22"/>
          <w:szCs w:val="22"/>
        </w:rPr>
        <w:t xml:space="preserve"> : </w:t>
      </w:r>
      <w:r w:rsidR="009B2F04" w:rsidRPr="00511A87">
        <w:rPr>
          <w:rFonts w:ascii="Times New Roman" w:hAnsi="Times New Roman" w:cs="Times New Roman"/>
          <w:sz w:val="22"/>
          <w:szCs w:val="22"/>
        </w:rPr>
        <w:t>La</w:t>
      </w:r>
      <w:r w:rsidR="0016285E" w:rsidRPr="00511A87">
        <w:rPr>
          <w:rFonts w:ascii="Times New Roman" w:hAnsi="Times New Roman" w:cs="Times New Roman"/>
          <w:sz w:val="22"/>
          <w:szCs w:val="22"/>
        </w:rPr>
        <w:t xml:space="preserve"> société </w:t>
      </w:r>
      <w:r w:rsidR="00EA0EAB" w:rsidRPr="00511A87">
        <w:rPr>
          <w:rFonts w:ascii="Times New Roman" w:hAnsi="Times New Roman" w:cs="Times New Roman"/>
          <w:sz w:val="22"/>
          <w:szCs w:val="22"/>
        </w:rPr>
        <w:t>de droit européen</w:t>
      </w:r>
      <w:r w:rsidR="009B2F04" w:rsidRPr="00511A87">
        <w:rPr>
          <w:rFonts w:ascii="Times New Roman" w:hAnsi="Times New Roman" w:cs="Times New Roman"/>
          <w:sz w:val="22"/>
          <w:szCs w:val="22"/>
        </w:rPr>
        <w:t xml:space="preserve"> Puma</w:t>
      </w:r>
      <w:r w:rsidR="0016285E" w:rsidRPr="00511A87">
        <w:rPr>
          <w:rFonts w:ascii="Times New Roman" w:hAnsi="Times New Roman" w:cs="Times New Roman"/>
          <w:sz w:val="22"/>
          <w:szCs w:val="22"/>
        </w:rPr>
        <w:t xml:space="preserve"> spécialisée dans la conception, la confection et la commercialisation d’articles de sports et de vêtements, est titulaire de marques figuratives internationale ainsi que de l’</w:t>
      </w:r>
      <w:r w:rsidR="00765F77" w:rsidRPr="00511A87">
        <w:rPr>
          <w:rFonts w:ascii="Times New Roman" w:hAnsi="Times New Roman" w:cs="Times New Roman"/>
          <w:sz w:val="22"/>
          <w:szCs w:val="22"/>
        </w:rPr>
        <w:t>Union Européenne. Une société commerciale, filiale</w:t>
      </w:r>
      <w:r w:rsidR="00EA0EAB" w:rsidRPr="00511A87">
        <w:rPr>
          <w:rFonts w:ascii="Times New Roman" w:hAnsi="Times New Roman" w:cs="Times New Roman"/>
          <w:sz w:val="22"/>
          <w:szCs w:val="22"/>
        </w:rPr>
        <w:t xml:space="preserve"> française</w:t>
      </w:r>
      <w:r w:rsidR="00765F77" w:rsidRPr="00511A87">
        <w:rPr>
          <w:rFonts w:ascii="Times New Roman" w:hAnsi="Times New Roman" w:cs="Times New Roman"/>
          <w:sz w:val="22"/>
          <w:szCs w:val="22"/>
        </w:rPr>
        <w:t xml:space="preserve"> de </w:t>
      </w:r>
      <w:r w:rsidR="009C007D" w:rsidRPr="00511A87">
        <w:rPr>
          <w:rFonts w:ascii="Times New Roman" w:hAnsi="Times New Roman" w:cs="Times New Roman"/>
          <w:sz w:val="22"/>
          <w:szCs w:val="22"/>
        </w:rPr>
        <w:t>Puma</w:t>
      </w:r>
      <w:r w:rsidR="00765F77" w:rsidRPr="00511A87">
        <w:rPr>
          <w:rFonts w:ascii="Times New Roman" w:hAnsi="Times New Roman" w:cs="Times New Roman"/>
          <w:sz w:val="22"/>
          <w:szCs w:val="22"/>
        </w:rPr>
        <w:t xml:space="preserve"> est titulaire d’une licence d’exploitation sur la marque internationale. </w:t>
      </w:r>
    </w:p>
    <w:p w14:paraId="500C9EB2" w14:textId="7899559A" w:rsidR="007A6592" w:rsidRPr="00511A87" w:rsidRDefault="00F15018" w:rsidP="0002525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2"/>
          <w:szCs w:val="22"/>
        </w:rPr>
      </w:pPr>
      <w:r w:rsidRPr="00511A87">
        <w:rPr>
          <w:rFonts w:ascii="Times New Roman" w:hAnsi="Times New Roman" w:cs="Times New Roman"/>
          <w:sz w:val="22"/>
          <w:szCs w:val="22"/>
        </w:rPr>
        <w:t xml:space="preserve">Cette dernière soutient </w:t>
      </w:r>
      <w:r w:rsidR="009B2F04" w:rsidRPr="00511A87">
        <w:rPr>
          <w:rFonts w:ascii="Times New Roman" w:hAnsi="Times New Roman" w:cs="Times New Roman"/>
          <w:sz w:val="22"/>
          <w:szCs w:val="22"/>
        </w:rPr>
        <w:t>que la société Carrefour</w:t>
      </w:r>
      <w:r w:rsidRPr="00511A87">
        <w:rPr>
          <w:rFonts w:ascii="Times New Roman" w:hAnsi="Times New Roman" w:cs="Times New Roman"/>
          <w:sz w:val="22"/>
          <w:szCs w:val="22"/>
        </w:rPr>
        <w:t xml:space="preserve"> commercialisait une chaussure de tennis reproduisant, sur sa partie latérale, un élément figuratif constituant l’imitation des marques figuratives précitées. </w:t>
      </w:r>
      <w:r w:rsidR="00916793" w:rsidRPr="00511A87">
        <w:rPr>
          <w:rFonts w:ascii="Times New Roman" w:hAnsi="Times New Roman" w:cs="Times New Roman"/>
          <w:sz w:val="22"/>
          <w:szCs w:val="22"/>
        </w:rPr>
        <w:t xml:space="preserve">La société </w:t>
      </w:r>
      <w:r w:rsidR="009B2F04" w:rsidRPr="00511A87">
        <w:rPr>
          <w:rFonts w:ascii="Times New Roman" w:hAnsi="Times New Roman" w:cs="Times New Roman"/>
          <w:sz w:val="22"/>
          <w:szCs w:val="22"/>
        </w:rPr>
        <w:t>Puma</w:t>
      </w:r>
      <w:r w:rsidR="00916793" w:rsidRPr="00511A87">
        <w:rPr>
          <w:rFonts w:ascii="Times New Roman" w:hAnsi="Times New Roman" w:cs="Times New Roman"/>
          <w:sz w:val="22"/>
          <w:szCs w:val="22"/>
        </w:rPr>
        <w:t xml:space="preserve"> avait ouvert une procédure d’</w:t>
      </w:r>
      <w:r w:rsidR="007A6592" w:rsidRPr="00511A87">
        <w:rPr>
          <w:rFonts w:ascii="Times New Roman" w:hAnsi="Times New Roman" w:cs="Times New Roman"/>
          <w:sz w:val="22"/>
          <w:szCs w:val="22"/>
        </w:rPr>
        <w:t xml:space="preserve">opposition </w:t>
      </w:r>
      <w:r w:rsidR="009B2F04" w:rsidRPr="00511A87">
        <w:rPr>
          <w:rFonts w:ascii="Times New Roman" w:hAnsi="Times New Roman" w:cs="Times New Roman"/>
          <w:sz w:val="22"/>
          <w:szCs w:val="22"/>
        </w:rPr>
        <w:t xml:space="preserve">à l’enregistrement de la marque relative au signe litigieux par la société Carrefour. </w:t>
      </w:r>
    </w:p>
    <w:p w14:paraId="0B7DD8BC" w14:textId="77777777" w:rsidR="006B6778" w:rsidRPr="00511A87" w:rsidRDefault="006B6778" w:rsidP="0002525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2"/>
          <w:szCs w:val="22"/>
        </w:rPr>
      </w:pPr>
    </w:p>
    <w:p w14:paraId="75F06688" w14:textId="2FA3B973" w:rsidR="001D43FE" w:rsidRPr="00511A87" w:rsidRDefault="006B6778" w:rsidP="0002525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2"/>
          <w:szCs w:val="22"/>
        </w:rPr>
      </w:pPr>
      <w:r w:rsidRPr="00511A87">
        <w:rPr>
          <w:rFonts w:ascii="Times New Roman" w:hAnsi="Times New Roman" w:cs="Times New Roman"/>
          <w:b/>
          <w:sz w:val="22"/>
          <w:szCs w:val="22"/>
        </w:rPr>
        <w:t>Procédure</w:t>
      </w:r>
      <w:r w:rsidRPr="00511A87">
        <w:rPr>
          <w:rFonts w:ascii="Times New Roman" w:hAnsi="Times New Roman" w:cs="Times New Roman"/>
          <w:sz w:val="22"/>
          <w:szCs w:val="22"/>
        </w:rPr>
        <w:t xml:space="preserve"> : </w:t>
      </w:r>
      <w:r w:rsidR="009C007D" w:rsidRPr="00511A87">
        <w:rPr>
          <w:rFonts w:ascii="Times New Roman" w:hAnsi="Times New Roman" w:cs="Times New Roman"/>
          <w:sz w:val="22"/>
          <w:szCs w:val="22"/>
        </w:rPr>
        <w:t>La société</w:t>
      </w:r>
      <w:r w:rsidR="00F15018" w:rsidRPr="00511A87">
        <w:rPr>
          <w:rFonts w:ascii="Times New Roman" w:hAnsi="Times New Roman" w:cs="Times New Roman"/>
          <w:sz w:val="22"/>
          <w:szCs w:val="22"/>
        </w:rPr>
        <w:t xml:space="preserve"> ainsi que la filiale ont obtenu l’autorisation de saisie contrefaçon le 25 août 2017. A la suite des opérations de saisies ayant eu lieu les 1ers et 4 septembre 2017, les sociétés ont assigné la dites société pour atteinte aux marques renommées, contrefaçon de marques et concurrence déloyale.</w:t>
      </w:r>
      <w:r w:rsidR="001D43FE" w:rsidRPr="00511A87">
        <w:rPr>
          <w:rFonts w:ascii="Times New Roman" w:hAnsi="Times New Roman" w:cs="Times New Roman"/>
          <w:sz w:val="22"/>
          <w:szCs w:val="22"/>
        </w:rPr>
        <w:t xml:space="preserve"> </w:t>
      </w:r>
      <w:r w:rsidR="004E6547" w:rsidRPr="00511A87">
        <w:rPr>
          <w:rFonts w:ascii="Times New Roman" w:hAnsi="Times New Roman" w:cs="Times New Roman"/>
          <w:sz w:val="22"/>
          <w:szCs w:val="22"/>
        </w:rPr>
        <w:t xml:space="preserve">La société prétendument contrefaisante soulève la nullité des opérations de saisie contrefaçon. </w:t>
      </w:r>
      <w:r w:rsidR="001D43FE" w:rsidRPr="00511A87">
        <w:rPr>
          <w:rFonts w:ascii="Times New Roman" w:hAnsi="Times New Roman" w:cs="Times New Roman"/>
          <w:sz w:val="22"/>
          <w:szCs w:val="22"/>
        </w:rPr>
        <w:t xml:space="preserve">A la suite d’un arrêt rendu par la Cour d’Appel de Paris le 26 novembre 2021, la société de droit européen forme un pourvoi en cassation. </w:t>
      </w:r>
    </w:p>
    <w:p w14:paraId="6010311F" w14:textId="30701F05" w:rsidR="00803D75" w:rsidRPr="00511A87" w:rsidRDefault="001D43FE" w:rsidP="0002525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2"/>
          <w:szCs w:val="22"/>
        </w:rPr>
      </w:pPr>
      <w:r w:rsidRPr="00511A87">
        <w:rPr>
          <w:rFonts w:ascii="Times New Roman" w:hAnsi="Times New Roman" w:cs="Times New Roman"/>
          <w:sz w:val="22"/>
          <w:szCs w:val="22"/>
        </w:rPr>
        <w:t xml:space="preserve">Les sociétés </w:t>
      </w:r>
      <w:r w:rsidR="009C007D" w:rsidRPr="00511A87">
        <w:rPr>
          <w:rFonts w:ascii="Times New Roman" w:hAnsi="Times New Roman" w:cs="Times New Roman"/>
          <w:sz w:val="22"/>
          <w:szCs w:val="22"/>
        </w:rPr>
        <w:t>Puma</w:t>
      </w:r>
      <w:r w:rsidRPr="00511A87">
        <w:rPr>
          <w:rFonts w:ascii="Times New Roman" w:hAnsi="Times New Roman" w:cs="Times New Roman"/>
          <w:sz w:val="22"/>
          <w:szCs w:val="22"/>
        </w:rPr>
        <w:t xml:space="preserve"> </w:t>
      </w:r>
      <w:r w:rsidR="00A07BFC">
        <w:rPr>
          <w:rFonts w:ascii="Times New Roman" w:hAnsi="Times New Roman" w:cs="Times New Roman"/>
          <w:sz w:val="22"/>
          <w:szCs w:val="22"/>
        </w:rPr>
        <w:t>contestent</w:t>
      </w:r>
      <w:r w:rsidR="00BD7502" w:rsidRPr="00511A87">
        <w:rPr>
          <w:rFonts w:ascii="Times New Roman" w:hAnsi="Times New Roman" w:cs="Times New Roman"/>
          <w:sz w:val="22"/>
          <w:szCs w:val="22"/>
        </w:rPr>
        <w:t xml:space="preserve"> </w:t>
      </w:r>
      <w:r w:rsidR="00837FBC" w:rsidRPr="00511A87">
        <w:rPr>
          <w:rFonts w:ascii="Times New Roman" w:hAnsi="Times New Roman" w:cs="Times New Roman"/>
          <w:sz w:val="22"/>
          <w:szCs w:val="22"/>
        </w:rPr>
        <w:t>leurs</w:t>
      </w:r>
      <w:r w:rsidR="00EF09C6" w:rsidRPr="00511A87">
        <w:rPr>
          <w:rFonts w:ascii="Times New Roman" w:hAnsi="Times New Roman" w:cs="Times New Roman"/>
          <w:sz w:val="22"/>
          <w:szCs w:val="22"/>
        </w:rPr>
        <w:t xml:space="preserve"> condamnation</w:t>
      </w:r>
      <w:r w:rsidR="00837FBC" w:rsidRPr="00511A87">
        <w:rPr>
          <w:rFonts w:ascii="Times New Roman" w:hAnsi="Times New Roman" w:cs="Times New Roman"/>
          <w:sz w:val="22"/>
          <w:szCs w:val="22"/>
        </w:rPr>
        <w:t>s</w:t>
      </w:r>
      <w:r w:rsidR="00EF09C6" w:rsidRPr="00511A87">
        <w:rPr>
          <w:rFonts w:ascii="Times New Roman" w:hAnsi="Times New Roman" w:cs="Times New Roman"/>
          <w:sz w:val="22"/>
          <w:szCs w:val="22"/>
        </w:rPr>
        <w:t xml:space="preserve"> solidaire</w:t>
      </w:r>
      <w:r w:rsidR="00837FBC" w:rsidRPr="00511A87">
        <w:rPr>
          <w:rFonts w:ascii="Times New Roman" w:hAnsi="Times New Roman" w:cs="Times New Roman"/>
          <w:sz w:val="22"/>
          <w:szCs w:val="22"/>
        </w:rPr>
        <w:t>s</w:t>
      </w:r>
      <w:r w:rsidR="00EF09C6" w:rsidRPr="00511A87">
        <w:rPr>
          <w:rFonts w:ascii="Times New Roman" w:hAnsi="Times New Roman" w:cs="Times New Roman"/>
          <w:sz w:val="22"/>
          <w:szCs w:val="22"/>
        </w:rPr>
        <w:t xml:space="preserve"> et l’annulation des procès-verbaux ainsi que le procès-verbal</w:t>
      </w:r>
      <w:r w:rsidR="00A07BFC">
        <w:rPr>
          <w:rFonts w:ascii="Times New Roman" w:hAnsi="Times New Roman" w:cs="Times New Roman"/>
          <w:sz w:val="22"/>
          <w:szCs w:val="22"/>
        </w:rPr>
        <w:t xml:space="preserve"> complémentaire de contrefaçon.</w:t>
      </w:r>
    </w:p>
    <w:p w14:paraId="5F18DA98" w14:textId="77777777" w:rsidR="00913FDC" w:rsidRDefault="00803D75" w:rsidP="0002525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2"/>
          <w:szCs w:val="22"/>
        </w:rPr>
      </w:pPr>
      <w:r w:rsidRPr="00511A87">
        <w:rPr>
          <w:rFonts w:ascii="Times New Roman" w:hAnsi="Times New Roman" w:cs="Times New Roman"/>
          <w:sz w:val="22"/>
          <w:szCs w:val="22"/>
        </w:rPr>
        <w:t xml:space="preserve">Est reproché </w:t>
      </w:r>
      <w:r w:rsidR="009C007D" w:rsidRPr="00511A87">
        <w:rPr>
          <w:rFonts w:ascii="Times New Roman" w:hAnsi="Times New Roman" w:cs="Times New Roman"/>
          <w:sz w:val="22"/>
          <w:szCs w:val="22"/>
        </w:rPr>
        <w:t>à la société Puma,</w:t>
      </w:r>
      <w:r w:rsidRPr="00511A87">
        <w:rPr>
          <w:rFonts w:ascii="Times New Roman" w:hAnsi="Times New Roman" w:cs="Times New Roman"/>
          <w:sz w:val="22"/>
          <w:szCs w:val="22"/>
        </w:rPr>
        <w:t xml:space="preserve"> le fait de ne pas avoir communiqué au juge des requêtes « les informations dont elles disposaient sur des procédures d’opposition à l’enregistrement de marques mettant en cause les mêmes signes que ceux faisant l’objet du litige en contrefaçon ». De plus, a également été dissimulé de la connaissance du juge des requêtes, la décision de l’instance administrative compétente quant à la non constitution du signe en question comme imitation des marques opposées et donc ne créant aucune confusion. L’arrêt retient que, par ces agissements, la société appelant à la requête en contrefaçon, a privé le juge des requêtes d’une pleine appréciation des enjeux de la saisie-contrefaçon. La société Européenne, à travers la requête de sa filiale française, a manqué à son devoir de loyauté. </w:t>
      </w:r>
    </w:p>
    <w:p w14:paraId="5862D829" w14:textId="77777777" w:rsidR="00A07BFC" w:rsidRDefault="00A07BFC" w:rsidP="0002525F">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2"/>
          <w:szCs w:val="22"/>
        </w:rPr>
      </w:pPr>
    </w:p>
    <w:p w14:paraId="12603A49" w14:textId="5786DF45" w:rsidR="006B6778" w:rsidRPr="00511A87" w:rsidRDefault="006B6778" w:rsidP="0002525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2"/>
          <w:szCs w:val="22"/>
        </w:rPr>
      </w:pPr>
      <w:r w:rsidRPr="00511A87">
        <w:rPr>
          <w:rFonts w:ascii="Times New Roman" w:hAnsi="Times New Roman" w:cs="Times New Roman"/>
          <w:b/>
          <w:sz w:val="22"/>
          <w:szCs w:val="22"/>
        </w:rPr>
        <w:t>Problème de droit </w:t>
      </w:r>
      <w:r w:rsidRPr="00511A87">
        <w:rPr>
          <w:rFonts w:ascii="Times New Roman" w:hAnsi="Times New Roman" w:cs="Times New Roman"/>
          <w:sz w:val="22"/>
          <w:szCs w:val="22"/>
        </w:rPr>
        <w:t xml:space="preserve">: </w:t>
      </w:r>
      <w:r w:rsidR="00E31B8B" w:rsidRPr="00511A87">
        <w:rPr>
          <w:rFonts w:ascii="Times New Roman" w:hAnsi="Times New Roman" w:cs="Times New Roman"/>
          <w:sz w:val="22"/>
          <w:szCs w:val="22"/>
        </w:rPr>
        <w:t xml:space="preserve">Il est alors judicieux de s’interroger quant à la requête de saisie-contrefaçon. En effet, le devoir de loyauté en matière de saisie-contrefaçon nécessite-t-il la communication des précédentes procédures relatives au signe présumé contrefaisant ? </w:t>
      </w:r>
    </w:p>
    <w:p w14:paraId="10A8C6EF" w14:textId="77777777" w:rsidR="009B1005" w:rsidRPr="00511A87" w:rsidRDefault="009B1005" w:rsidP="0002525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2"/>
          <w:szCs w:val="22"/>
        </w:rPr>
      </w:pPr>
    </w:p>
    <w:p w14:paraId="35E46C15" w14:textId="6C5727E2" w:rsidR="009B1005" w:rsidRPr="00511A87" w:rsidRDefault="009B1005" w:rsidP="0002525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2"/>
          <w:szCs w:val="22"/>
        </w:rPr>
      </w:pPr>
      <w:r w:rsidRPr="00511A87">
        <w:rPr>
          <w:rFonts w:ascii="Times New Roman" w:hAnsi="Times New Roman" w:cs="Times New Roman"/>
          <w:b/>
          <w:sz w:val="22"/>
          <w:szCs w:val="22"/>
        </w:rPr>
        <w:t>Solution</w:t>
      </w:r>
      <w:r w:rsidRPr="00511A87">
        <w:rPr>
          <w:rFonts w:ascii="Times New Roman" w:hAnsi="Times New Roman" w:cs="Times New Roman"/>
          <w:sz w:val="22"/>
          <w:szCs w:val="22"/>
        </w:rPr>
        <w:t xml:space="preserve"> : </w:t>
      </w:r>
      <w:r w:rsidR="00E85762" w:rsidRPr="00511A87">
        <w:rPr>
          <w:rFonts w:ascii="Times New Roman" w:hAnsi="Times New Roman" w:cs="Times New Roman"/>
          <w:sz w:val="22"/>
          <w:szCs w:val="22"/>
        </w:rPr>
        <w:t xml:space="preserve">La Cour de cassation rappelle les dispositions permettant au titulaire de droit de propriété intellectuelle d’agir en requête de saisie-contrefaçon. De plus, cette dernière opère également un rappel du principe de loyauté des débats énoncé à l’article 10 du code civil et à l’article 3 de la directive 2004/48/CE du 29 avril 2004. Ainsi, la Cour relève que </w:t>
      </w:r>
      <w:r w:rsidR="00443528" w:rsidRPr="00511A87">
        <w:rPr>
          <w:rFonts w:ascii="Times New Roman" w:hAnsi="Times New Roman" w:cs="Times New Roman"/>
          <w:sz w:val="22"/>
          <w:szCs w:val="22"/>
        </w:rPr>
        <w:t xml:space="preserve">la société </w:t>
      </w:r>
      <w:r w:rsidR="00682AA9" w:rsidRPr="00511A87">
        <w:rPr>
          <w:rFonts w:ascii="Times New Roman" w:hAnsi="Times New Roman" w:cs="Times New Roman"/>
          <w:sz w:val="22"/>
          <w:szCs w:val="22"/>
        </w:rPr>
        <w:t>Puma,</w:t>
      </w:r>
      <w:r w:rsidR="00041A05" w:rsidRPr="00511A87">
        <w:rPr>
          <w:rFonts w:ascii="Times New Roman" w:hAnsi="Times New Roman" w:cs="Times New Roman"/>
          <w:sz w:val="22"/>
          <w:szCs w:val="22"/>
        </w:rPr>
        <w:t xml:space="preserve"> à l’initiative de la requête en saisie-cont</w:t>
      </w:r>
      <w:r w:rsidR="00443528" w:rsidRPr="00511A87">
        <w:rPr>
          <w:rFonts w:ascii="Times New Roman" w:hAnsi="Times New Roman" w:cs="Times New Roman"/>
          <w:sz w:val="22"/>
          <w:szCs w:val="22"/>
        </w:rPr>
        <w:t>refaçon a dissimulé</w:t>
      </w:r>
      <w:r w:rsidR="00041A05" w:rsidRPr="00511A87">
        <w:rPr>
          <w:rFonts w:ascii="Times New Roman" w:hAnsi="Times New Roman" w:cs="Times New Roman"/>
          <w:sz w:val="22"/>
          <w:szCs w:val="22"/>
        </w:rPr>
        <w:t xml:space="preserve"> les informations relatives à la titularité </w:t>
      </w:r>
      <w:r w:rsidR="00682AA9" w:rsidRPr="00511A87">
        <w:rPr>
          <w:rFonts w:ascii="Times New Roman" w:hAnsi="Times New Roman" w:cs="Times New Roman"/>
          <w:sz w:val="22"/>
          <w:szCs w:val="22"/>
        </w:rPr>
        <w:t xml:space="preserve">de la société Carrefour sur des </w:t>
      </w:r>
      <w:r w:rsidR="00682AA9" w:rsidRPr="00511A87">
        <w:rPr>
          <w:rFonts w:ascii="Times New Roman" w:hAnsi="Times New Roman" w:cs="Times New Roman"/>
          <w:sz w:val="22"/>
          <w:szCs w:val="22"/>
        </w:rPr>
        <w:lastRenderedPageBreak/>
        <w:t xml:space="preserve">marques françaises et européennes portant sur le signe litigieux. De plus, les demandeurs se sont également abstenus de mentionner leur opposition à l’enregistrement desdites marques ainsi que l’exclusion de l’imitation par les instances administratives. Enfin, la Cour rappelle que la décision de ces dernières ne lie pas le juge mais doit être recueillis dans le cadre de la requête en saisie-contrefaçon. </w:t>
      </w:r>
    </w:p>
    <w:p w14:paraId="59DCDD94" w14:textId="071BC5AE" w:rsidR="00F1553C" w:rsidRPr="00511A87" w:rsidRDefault="00682AA9" w:rsidP="00C36F9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2"/>
          <w:szCs w:val="22"/>
        </w:rPr>
      </w:pPr>
      <w:r w:rsidRPr="00511A87">
        <w:rPr>
          <w:rFonts w:ascii="Times New Roman" w:hAnsi="Times New Roman" w:cs="Times New Roman"/>
          <w:sz w:val="22"/>
          <w:szCs w:val="22"/>
        </w:rPr>
        <w:t xml:space="preserve">Par ces motifs, la cour d’appel a correctement justifié sa décision, les sociétés Puma ont manqué à leur devoir de loyauté. Par conséquent, la Cour de cassation rejette le pourvoi. Les procès-verbaux de saisie-contrefaçon seront annulés. </w:t>
      </w:r>
    </w:p>
    <w:p w14:paraId="092D4A2A" w14:textId="77777777" w:rsidR="00F1553C" w:rsidRPr="00511A87" w:rsidRDefault="00F1553C" w:rsidP="000D4CB0">
      <w:pPr>
        <w:jc w:val="both"/>
        <w:rPr>
          <w:rFonts w:ascii="Times New Roman" w:hAnsi="Times New Roman" w:cs="Times New Roman"/>
          <w:sz w:val="22"/>
          <w:szCs w:val="22"/>
        </w:rPr>
      </w:pPr>
    </w:p>
    <w:p w14:paraId="5E023699" w14:textId="77777777" w:rsidR="00194EA4" w:rsidRPr="00511A87" w:rsidRDefault="00194EA4" w:rsidP="00194EA4">
      <w:pPr>
        <w:rPr>
          <w:rFonts w:ascii="Times New Roman" w:hAnsi="Times New Roman" w:cs="Times New Roman"/>
          <w:sz w:val="22"/>
          <w:szCs w:val="22"/>
        </w:rPr>
      </w:pPr>
      <w:r w:rsidRPr="00511A87">
        <w:rPr>
          <w:rFonts w:ascii="Times New Roman" w:hAnsi="Times New Roman" w:cs="Times New Roman"/>
          <w:b/>
          <w:sz w:val="22"/>
          <w:szCs w:val="22"/>
        </w:rPr>
        <w:t>Sources</w:t>
      </w:r>
      <w:r w:rsidRPr="00511A87">
        <w:rPr>
          <w:rFonts w:ascii="Times New Roman" w:hAnsi="Times New Roman" w:cs="Times New Roman"/>
          <w:sz w:val="22"/>
          <w:szCs w:val="22"/>
        </w:rPr>
        <w:t> : Dalloz Jurisprudence</w:t>
      </w:r>
    </w:p>
    <w:p w14:paraId="15F573E3" w14:textId="77777777" w:rsidR="00194EA4" w:rsidRPr="00511A87" w:rsidRDefault="00194EA4" w:rsidP="00194EA4">
      <w:pPr>
        <w:rPr>
          <w:rFonts w:ascii="Times New Roman" w:hAnsi="Times New Roman" w:cs="Times New Roman"/>
          <w:sz w:val="22"/>
          <w:szCs w:val="22"/>
        </w:rPr>
      </w:pPr>
    </w:p>
    <w:p w14:paraId="29B5DC16" w14:textId="045FF004" w:rsidR="00194EA4" w:rsidRPr="00511A87" w:rsidRDefault="00194EA4" w:rsidP="00511A87">
      <w:pPr>
        <w:rPr>
          <w:rFonts w:ascii="Times New Roman" w:hAnsi="Times New Roman" w:cs="Times New Roman"/>
          <w:sz w:val="22"/>
          <w:szCs w:val="22"/>
        </w:rPr>
      </w:pPr>
      <w:r w:rsidRPr="00511A87">
        <w:rPr>
          <w:rFonts w:ascii="Times New Roman" w:hAnsi="Times New Roman" w:cs="Times New Roman"/>
          <w:sz w:val="22"/>
          <w:szCs w:val="22"/>
        </w:rPr>
        <w:t xml:space="preserve">WATHELET, Joachim. « La loyauté en droit de la propriété intellectuelle ». univ-amu.fr. Presses universitaires. 2019. Web. 11 </w:t>
      </w:r>
    </w:p>
    <w:p w14:paraId="40C8F1E9" w14:textId="77777777" w:rsidR="00194EA4" w:rsidRPr="00511A87" w:rsidRDefault="00194EA4" w:rsidP="000D4CB0">
      <w:pPr>
        <w:jc w:val="both"/>
        <w:rPr>
          <w:rFonts w:ascii="Times New Roman" w:hAnsi="Times New Roman" w:cs="Times New Roman"/>
          <w:b/>
          <w:i/>
          <w:sz w:val="22"/>
          <w:szCs w:val="22"/>
          <w:u w:val="single"/>
        </w:rPr>
      </w:pPr>
    </w:p>
    <w:p w14:paraId="77F56124" w14:textId="77777777" w:rsidR="00194EA4" w:rsidRPr="00511A87" w:rsidRDefault="00194EA4" w:rsidP="000D4CB0">
      <w:pPr>
        <w:jc w:val="both"/>
        <w:rPr>
          <w:rFonts w:ascii="Times New Roman" w:hAnsi="Times New Roman" w:cs="Times New Roman"/>
          <w:b/>
          <w:i/>
          <w:sz w:val="22"/>
          <w:szCs w:val="22"/>
          <w:u w:val="single"/>
        </w:rPr>
      </w:pPr>
    </w:p>
    <w:p w14:paraId="3EF28D9A" w14:textId="47658265" w:rsidR="00194EA4" w:rsidRPr="00511A87" w:rsidRDefault="00194EA4" w:rsidP="000D4CB0">
      <w:pPr>
        <w:jc w:val="both"/>
        <w:rPr>
          <w:rFonts w:ascii="Times New Roman" w:hAnsi="Times New Roman" w:cs="Times New Roman"/>
          <w:b/>
          <w:i/>
          <w:sz w:val="22"/>
          <w:szCs w:val="22"/>
          <w:u w:val="single"/>
        </w:rPr>
      </w:pPr>
      <w:r w:rsidRPr="00511A87">
        <w:rPr>
          <w:rFonts w:ascii="Times New Roman" w:hAnsi="Times New Roman" w:cs="Times New Roman"/>
          <w:b/>
          <w:i/>
          <w:sz w:val="22"/>
          <w:szCs w:val="22"/>
          <w:u w:val="single"/>
        </w:rPr>
        <w:t xml:space="preserve">NOTE : </w:t>
      </w:r>
    </w:p>
    <w:p w14:paraId="1FDE2B26" w14:textId="77777777" w:rsidR="00194EA4" w:rsidRPr="00511A87" w:rsidRDefault="00194EA4" w:rsidP="000D4CB0">
      <w:pPr>
        <w:jc w:val="both"/>
        <w:rPr>
          <w:rFonts w:ascii="Times New Roman" w:hAnsi="Times New Roman" w:cs="Times New Roman"/>
          <w:sz w:val="22"/>
          <w:szCs w:val="22"/>
        </w:rPr>
      </w:pPr>
    </w:p>
    <w:p w14:paraId="4DE17995" w14:textId="77777777" w:rsidR="00194EA4" w:rsidRPr="00511A87" w:rsidRDefault="00194EA4" w:rsidP="000D4CB0">
      <w:pPr>
        <w:jc w:val="both"/>
        <w:rPr>
          <w:rFonts w:ascii="Times New Roman" w:hAnsi="Times New Roman" w:cs="Times New Roman"/>
          <w:sz w:val="22"/>
          <w:szCs w:val="22"/>
        </w:rPr>
        <w:sectPr w:rsidR="00194EA4" w:rsidRPr="00511A87" w:rsidSect="00FD31BE">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1020" w:gutter="0"/>
          <w:cols w:space="708"/>
          <w:docGrid w:linePitch="360"/>
        </w:sectPr>
      </w:pPr>
    </w:p>
    <w:p w14:paraId="49F8A10E" w14:textId="701EE380" w:rsidR="009B1005" w:rsidRPr="00511A87" w:rsidRDefault="000648C1" w:rsidP="000D4CB0">
      <w:pPr>
        <w:jc w:val="both"/>
        <w:rPr>
          <w:rFonts w:ascii="Times New Roman" w:hAnsi="Times New Roman" w:cs="Times New Roman"/>
          <w:b/>
          <w:i/>
          <w:sz w:val="22"/>
          <w:szCs w:val="22"/>
          <w:u w:val="single"/>
        </w:rPr>
      </w:pPr>
      <w:r w:rsidRPr="00511A87">
        <w:rPr>
          <w:rFonts w:ascii="Times New Roman" w:hAnsi="Times New Roman" w:cs="Times New Roman"/>
          <w:b/>
          <w:i/>
          <w:sz w:val="22"/>
          <w:szCs w:val="22"/>
          <w:u w:val="single"/>
        </w:rPr>
        <w:t xml:space="preserve">I / </w:t>
      </w:r>
      <w:r w:rsidR="00A64F9E">
        <w:rPr>
          <w:rFonts w:ascii="Times New Roman" w:hAnsi="Times New Roman" w:cs="Times New Roman"/>
          <w:b/>
          <w:i/>
          <w:sz w:val="22"/>
          <w:szCs w:val="22"/>
          <w:u w:val="single"/>
        </w:rPr>
        <w:t xml:space="preserve">Le </w:t>
      </w:r>
      <w:r w:rsidR="009B2F04" w:rsidRPr="00511A87">
        <w:rPr>
          <w:rFonts w:ascii="Times New Roman" w:hAnsi="Times New Roman" w:cs="Times New Roman"/>
          <w:b/>
          <w:i/>
          <w:sz w:val="22"/>
          <w:szCs w:val="22"/>
          <w:u w:val="single"/>
        </w:rPr>
        <w:t>rappel</w:t>
      </w:r>
      <w:r w:rsidR="00A64F9E">
        <w:rPr>
          <w:rFonts w:ascii="Times New Roman" w:hAnsi="Times New Roman" w:cs="Times New Roman"/>
          <w:b/>
          <w:i/>
          <w:sz w:val="22"/>
          <w:szCs w:val="22"/>
          <w:u w:val="single"/>
        </w:rPr>
        <w:t xml:space="preserve"> nécessaire</w:t>
      </w:r>
      <w:r w:rsidR="009B2F04" w:rsidRPr="00511A87">
        <w:rPr>
          <w:rFonts w:ascii="Times New Roman" w:hAnsi="Times New Roman" w:cs="Times New Roman"/>
          <w:b/>
          <w:i/>
          <w:sz w:val="22"/>
          <w:szCs w:val="22"/>
          <w:u w:val="single"/>
        </w:rPr>
        <w:t xml:space="preserve"> des dispositions </w:t>
      </w:r>
      <w:r w:rsidR="00520C17" w:rsidRPr="00511A87">
        <w:rPr>
          <w:rFonts w:ascii="Times New Roman" w:hAnsi="Times New Roman" w:cs="Times New Roman"/>
          <w:b/>
          <w:i/>
          <w:sz w:val="22"/>
          <w:szCs w:val="22"/>
          <w:u w:val="single"/>
        </w:rPr>
        <w:t>nationale</w:t>
      </w:r>
      <w:r w:rsidR="00A64F9E">
        <w:rPr>
          <w:rFonts w:ascii="Times New Roman" w:hAnsi="Times New Roman" w:cs="Times New Roman"/>
          <w:b/>
          <w:i/>
          <w:sz w:val="22"/>
          <w:szCs w:val="22"/>
          <w:u w:val="single"/>
        </w:rPr>
        <w:t>s</w:t>
      </w:r>
      <w:r w:rsidR="00520C17" w:rsidRPr="00511A87">
        <w:rPr>
          <w:rFonts w:ascii="Times New Roman" w:hAnsi="Times New Roman" w:cs="Times New Roman"/>
          <w:b/>
          <w:i/>
          <w:sz w:val="22"/>
          <w:szCs w:val="22"/>
          <w:u w:val="single"/>
        </w:rPr>
        <w:t xml:space="preserve"> </w:t>
      </w:r>
      <w:r w:rsidR="005B575F" w:rsidRPr="00511A87">
        <w:rPr>
          <w:rFonts w:ascii="Times New Roman" w:hAnsi="Times New Roman" w:cs="Times New Roman"/>
          <w:b/>
          <w:i/>
          <w:sz w:val="22"/>
          <w:szCs w:val="22"/>
          <w:u w:val="single"/>
        </w:rPr>
        <w:t>protégeant</w:t>
      </w:r>
      <w:r w:rsidR="009B2F04" w:rsidRPr="00511A87">
        <w:rPr>
          <w:rFonts w:ascii="Times New Roman" w:hAnsi="Times New Roman" w:cs="Times New Roman"/>
          <w:b/>
          <w:i/>
          <w:sz w:val="22"/>
          <w:szCs w:val="22"/>
          <w:u w:val="single"/>
        </w:rPr>
        <w:t xml:space="preserve"> le titulaire de dr</w:t>
      </w:r>
      <w:r w:rsidR="005124EE" w:rsidRPr="00511A87">
        <w:rPr>
          <w:rFonts w:ascii="Times New Roman" w:hAnsi="Times New Roman" w:cs="Times New Roman"/>
          <w:b/>
          <w:i/>
          <w:sz w:val="22"/>
          <w:szCs w:val="22"/>
          <w:u w:val="single"/>
        </w:rPr>
        <w:t>oit de propriété intellectuelle</w:t>
      </w:r>
    </w:p>
    <w:p w14:paraId="466E6487" w14:textId="77777777" w:rsidR="00B54701" w:rsidRPr="00511A87" w:rsidRDefault="00B54701" w:rsidP="000D4CB0">
      <w:pPr>
        <w:jc w:val="both"/>
        <w:rPr>
          <w:rFonts w:ascii="Times New Roman" w:hAnsi="Times New Roman" w:cs="Times New Roman"/>
          <w:sz w:val="22"/>
          <w:szCs w:val="22"/>
        </w:rPr>
      </w:pPr>
    </w:p>
    <w:p w14:paraId="57DB96D7" w14:textId="2F50FC2C" w:rsidR="005D5611" w:rsidRDefault="00AD39E3" w:rsidP="000D4CB0">
      <w:pPr>
        <w:jc w:val="both"/>
        <w:rPr>
          <w:rFonts w:ascii="Times New Roman" w:hAnsi="Times New Roman" w:cs="Times New Roman"/>
          <w:sz w:val="22"/>
          <w:szCs w:val="22"/>
        </w:rPr>
      </w:pPr>
      <w:r w:rsidRPr="00511A87">
        <w:rPr>
          <w:rFonts w:ascii="Times New Roman" w:hAnsi="Times New Roman" w:cs="Times New Roman"/>
          <w:sz w:val="22"/>
          <w:szCs w:val="22"/>
        </w:rPr>
        <w:t xml:space="preserve">A travers </w:t>
      </w:r>
      <w:r w:rsidR="0062350C">
        <w:rPr>
          <w:rFonts w:ascii="Times New Roman" w:hAnsi="Times New Roman" w:cs="Times New Roman"/>
          <w:sz w:val="22"/>
          <w:szCs w:val="22"/>
        </w:rPr>
        <w:t>un litige opposant la société Européenne Puma et la société Carrefour</w:t>
      </w:r>
      <w:r w:rsidRPr="00511A87">
        <w:rPr>
          <w:rFonts w:ascii="Times New Roman" w:hAnsi="Times New Roman" w:cs="Times New Roman"/>
          <w:sz w:val="22"/>
          <w:szCs w:val="22"/>
        </w:rPr>
        <w:t xml:space="preserve">, la Cour de cassation a vocation à rappeler l’intérêt fondamentale du principe de loyauté </w:t>
      </w:r>
      <w:r w:rsidR="009E7663" w:rsidRPr="00511A87">
        <w:rPr>
          <w:rFonts w:ascii="Times New Roman" w:hAnsi="Times New Roman" w:cs="Times New Roman"/>
          <w:sz w:val="22"/>
          <w:szCs w:val="22"/>
        </w:rPr>
        <w:t xml:space="preserve">dans la procédure, notamment en matière de contrefaçon. </w:t>
      </w:r>
    </w:p>
    <w:p w14:paraId="1E369724" w14:textId="77777777" w:rsidR="005D5611" w:rsidRDefault="005D5611" w:rsidP="000D4CB0">
      <w:pPr>
        <w:jc w:val="both"/>
        <w:rPr>
          <w:rFonts w:ascii="Times New Roman" w:hAnsi="Times New Roman" w:cs="Times New Roman"/>
          <w:sz w:val="22"/>
          <w:szCs w:val="22"/>
        </w:rPr>
      </w:pPr>
    </w:p>
    <w:p w14:paraId="68BC83C9" w14:textId="4CDC6DC8" w:rsidR="005D5611" w:rsidRDefault="0062350C" w:rsidP="000D4CB0">
      <w:pPr>
        <w:jc w:val="both"/>
        <w:rPr>
          <w:rFonts w:ascii="Times New Roman" w:hAnsi="Times New Roman" w:cs="Times New Roman"/>
          <w:sz w:val="22"/>
          <w:szCs w:val="22"/>
        </w:rPr>
      </w:pPr>
      <w:r>
        <w:rPr>
          <w:rFonts w:ascii="Times New Roman" w:hAnsi="Times New Roman" w:cs="Times New Roman"/>
          <w:sz w:val="22"/>
          <w:szCs w:val="22"/>
        </w:rPr>
        <w:t xml:space="preserve">En effet, la société Puma s’est vu rejetée sa contestation de protection de marque </w:t>
      </w:r>
      <w:r w:rsidR="005D5611">
        <w:rPr>
          <w:rFonts w:ascii="Times New Roman" w:hAnsi="Times New Roman" w:cs="Times New Roman"/>
          <w:sz w:val="22"/>
          <w:szCs w:val="22"/>
        </w:rPr>
        <w:t xml:space="preserve">déposée par Carrefour. Malgré le rejet de l’opposition, Puma assigne Carrefour pour contrefaçon de marques. </w:t>
      </w:r>
      <w:r w:rsidR="00F602D5">
        <w:rPr>
          <w:rFonts w:ascii="Times New Roman" w:hAnsi="Times New Roman" w:cs="Times New Roman"/>
          <w:sz w:val="22"/>
          <w:szCs w:val="22"/>
        </w:rPr>
        <w:t xml:space="preserve">Cependant, aucune mention concernant le rejet de l’opposition n’est faite devant le juge en charge de la procédure. </w:t>
      </w:r>
    </w:p>
    <w:p w14:paraId="45958459" w14:textId="2318B613" w:rsidR="0062350C" w:rsidRPr="00511A87" w:rsidRDefault="005D5611" w:rsidP="000D4CB0">
      <w:pPr>
        <w:jc w:val="both"/>
        <w:rPr>
          <w:rFonts w:ascii="Times New Roman" w:hAnsi="Times New Roman" w:cs="Times New Roman"/>
          <w:sz w:val="22"/>
          <w:szCs w:val="22"/>
        </w:rPr>
      </w:pPr>
      <w:r>
        <w:rPr>
          <w:rFonts w:ascii="Times New Roman" w:hAnsi="Times New Roman" w:cs="Times New Roman"/>
          <w:sz w:val="22"/>
          <w:szCs w:val="22"/>
        </w:rPr>
        <w:t xml:space="preserve"> </w:t>
      </w:r>
    </w:p>
    <w:p w14:paraId="2BC09FCD" w14:textId="60351CAC" w:rsidR="00191491" w:rsidRPr="00511A87" w:rsidRDefault="005D5611" w:rsidP="000D4CB0">
      <w:pPr>
        <w:jc w:val="both"/>
        <w:rPr>
          <w:rFonts w:ascii="Times New Roman" w:hAnsi="Times New Roman" w:cs="Times New Roman"/>
          <w:sz w:val="22"/>
          <w:szCs w:val="22"/>
        </w:rPr>
      </w:pPr>
      <w:r>
        <w:rPr>
          <w:rFonts w:ascii="Times New Roman" w:hAnsi="Times New Roman" w:cs="Times New Roman"/>
          <w:sz w:val="22"/>
          <w:szCs w:val="22"/>
        </w:rPr>
        <w:t>Cet arrêt est également l’occasion pour la cour de cassation</w:t>
      </w:r>
      <w:r w:rsidR="00AD39E3" w:rsidRPr="00511A87">
        <w:rPr>
          <w:rFonts w:ascii="Times New Roman" w:hAnsi="Times New Roman" w:cs="Times New Roman"/>
          <w:sz w:val="22"/>
          <w:szCs w:val="22"/>
        </w:rPr>
        <w:t xml:space="preserve"> </w:t>
      </w:r>
      <w:r>
        <w:rPr>
          <w:rFonts w:ascii="Times New Roman" w:hAnsi="Times New Roman" w:cs="Times New Roman"/>
          <w:sz w:val="22"/>
          <w:szCs w:val="22"/>
        </w:rPr>
        <w:t xml:space="preserve">d’opérer </w:t>
      </w:r>
      <w:r w:rsidR="00A64F9E">
        <w:rPr>
          <w:rFonts w:ascii="Times New Roman" w:hAnsi="Times New Roman" w:cs="Times New Roman"/>
          <w:sz w:val="22"/>
          <w:szCs w:val="22"/>
        </w:rPr>
        <w:t>un état actuel</w:t>
      </w:r>
      <w:r w:rsidR="00191491" w:rsidRPr="00511A87">
        <w:rPr>
          <w:rFonts w:ascii="Times New Roman" w:hAnsi="Times New Roman" w:cs="Times New Roman"/>
          <w:sz w:val="22"/>
          <w:szCs w:val="22"/>
        </w:rPr>
        <w:t xml:space="preserve"> des dispositions protégeant les droits de propriété intellectuelle. </w:t>
      </w:r>
    </w:p>
    <w:p w14:paraId="499B678C" w14:textId="59C4D94A" w:rsidR="00B559A8" w:rsidRPr="00511A87" w:rsidRDefault="00EC4B3C" w:rsidP="000D4CB0">
      <w:pPr>
        <w:jc w:val="both"/>
        <w:rPr>
          <w:rFonts w:ascii="Times New Roman" w:hAnsi="Times New Roman" w:cs="Times New Roman"/>
          <w:sz w:val="22"/>
          <w:szCs w:val="22"/>
        </w:rPr>
      </w:pPr>
      <w:r w:rsidRPr="00511A87">
        <w:rPr>
          <w:rFonts w:ascii="Times New Roman" w:hAnsi="Times New Roman" w:cs="Times New Roman"/>
          <w:sz w:val="22"/>
          <w:szCs w:val="22"/>
        </w:rPr>
        <w:t xml:space="preserve"> </w:t>
      </w:r>
    </w:p>
    <w:p w14:paraId="3D29004B" w14:textId="66F5EBD5" w:rsidR="006A7014" w:rsidRPr="00511A87" w:rsidRDefault="00B559A8" w:rsidP="000D4CB0">
      <w:pPr>
        <w:jc w:val="both"/>
        <w:rPr>
          <w:rFonts w:ascii="Times New Roman" w:hAnsi="Times New Roman" w:cs="Times New Roman"/>
          <w:sz w:val="22"/>
          <w:szCs w:val="22"/>
        </w:rPr>
      </w:pPr>
      <w:r w:rsidRPr="00511A87">
        <w:rPr>
          <w:rFonts w:ascii="Times New Roman" w:hAnsi="Times New Roman" w:cs="Times New Roman"/>
          <w:sz w:val="22"/>
          <w:szCs w:val="22"/>
        </w:rPr>
        <w:t xml:space="preserve">Pour cela, la Cour </w:t>
      </w:r>
      <w:r w:rsidR="00C14EB7" w:rsidRPr="00511A87">
        <w:rPr>
          <w:rFonts w:ascii="Times New Roman" w:hAnsi="Times New Roman" w:cs="Times New Roman"/>
          <w:sz w:val="22"/>
          <w:szCs w:val="22"/>
        </w:rPr>
        <w:t xml:space="preserve">de cassation </w:t>
      </w:r>
      <w:r w:rsidR="005D5611">
        <w:rPr>
          <w:rFonts w:ascii="Times New Roman" w:hAnsi="Times New Roman" w:cs="Times New Roman"/>
          <w:sz w:val="22"/>
          <w:szCs w:val="22"/>
        </w:rPr>
        <w:t>expose</w:t>
      </w:r>
      <w:r w:rsidR="00C14EB7" w:rsidRPr="00511A87">
        <w:rPr>
          <w:rFonts w:ascii="Times New Roman" w:hAnsi="Times New Roman" w:cs="Times New Roman"/>
          <w:sz w:val="22"/>
          <w:szCs w:val="22"/>
        </w:rPr>
        <w:t xml:space="preserve"> les dispositions probatoires relatives à la contrefaçon dont dispose l’article L.716-4-7 alinéas 1 et 2 du Code de propriété intellectuelle (CPI). Cette dernière dresse un état des lieux sur la pro</w:t>
      </w:r>
      <w:r w:rsidR="005D5611">
        <w:rPr>
          <w:rFonts w:ascii="Times New Roman" w:hAnsi="Times New Roman" w:cs="Times New Roman"/>
          <w:sz w:val="22"/>
          <w:szCs w:val="22"/>
        </w:rPr>
        <w:t>cédure actuelle afin de montrer</w:t>
      </w:r>
      <w:r w:rsidR="00C14EB7" w:rsidRPr="00511A87">
        <w:rPr>
          <w:rFonts w:ascii="Times New Roman" w:hAnsi="Times New Roman" w:cs="Times New Roman"/>
          <w:sz w:val="22"/>
          <w:szCs w:val="22"/>
        </w:rPr>
        <w:t xml:space="preserve"> que ces dispositions permettent aux titulaires de droits de propriété intellectuelle de faire valoir leurs droits à travers cette procédure sans avoir à se justifier pour bénéficier d’une procédure non contradictoire.</w:t>
      </w:r>
      <w:r w:rsidR="00EF0A63" w:rsidRPr="00511A87">
        <w:rPr>
          <w:rFonts w:ascii="Times New Roman" w:hAnsi="Times New Roman" w:cs="Times New Roman"/>
          <w:sz w:val="22"/>
          <w:szCs w:val="22"/>
        </w:rPr>
        <w:t xml:space="preserve"> En effet, l’arrêt rappel que le juge saisi ne peut refuser d’accueillir une demande si cette dernière a été réalisée dans les conditions prévues par la loi. </w:t>
      </w:r>
      <w:r w:rsidR="00C14EB7" w:rsidRPr="00511A87">
        <w:rPr>
          <w:rFonts w:ascii="Times New Roman" w:hAnsi="Times New Roman" w:cs="Times New Roman"/>
          <w:sz w:val="22"/>
          <w:szCs w:val="22"/>
        </w:rPr>
        <w:t xml:space="preserve"> La Cour a vocation à reprendre minutieusement les principes régissant la procédure en matière de contrefaçon. Cette dernière, dans son argumentaire, fait réfé</w:t>
      </w:r>
      <w:r w:rsidR="005D5611">
        <w:rPr>
          <w:rFonts w:ascii="Times New Roman" w:hAnsi="Times New Roman" w:cs="Times New Roman"/>
          <w:sz w:val="22"/>
          <w:szCs w:val="22"/>
        </w:rPr>
        <w:t>rence à des décisions antérieures</w:t>
      </w:r>
      <w:r w:rsidR="00C14EB7" w:rsidRPr="00511A87">
        <w:rPr>
          <w:rFonts w:ascii="Times New Roman" w:hAnsi="Times New Roman" w:cs="Times New Roman"/>
          <w:sz w:val="22"/>
          <w:szCs w:val="22"/>
        </w:rPr>
        <w:t xml:space="preserve"> ayant déjà consacré certains principes (Com., 22 m</w:t>
      </w:r>
      <w:r w:rsidR="00EF0A63" w:rsidRPr="00511A87">
        <w:rPr>
          <w:rFonts w:ascii="Times New Roman" w:hAnsi="Times New Roman" w:cs="Times New Roman"/>
          <w:sz w:val="22"/>
          <w:szCs w:val="22"/>
        </w:rPr>
        <w:t xml:space="preserve">ars 2023, pourvoi n°21-21.467). </w:t>
      </w:r>
      <w:r w:rsidR="00AD3E6E" w:rsidRPr="00511A87">
        <w:rPr>
          <w:rFonts w:ascii="Times New Roman" w:hAnsi="Times New Roman" w:cs="Times New Roman"/>
          <w:sz w:val="22"/>
          <w:szCs w:val="22"/>
        </w:rPr>
        <w:t xml:space="preserve">Dans la première partie de l’attendu de sa décision, la Cour ne fait qu’un rappel détaillé </w:t>
      </w:r>
      <w:r w:rsidR="009E7663" w:rsidRPr="00511A87">
        <w:rPr>
          <w:rFonts w:ascii="Times New Roman" w:hAnsi="Times New Roman" w:cs="Times New Roman"/>
          <w:sz w:val="22"/>
          <w:szCs w:val="22"/>
        </w:rPr>
        <w:t xml:space="preserve">des dispositions relative à la procédure en matière de contrefaçon. </w:t>
      </w:r>
    </w:p>
    <w:p w14:paraId="4DBF5771" w14:textId="6422897E" w:rsidR="006A7014" w:rsidRPr="00511A87" w:rsidRDefault="00756BC8" w:rsidP="000D4CB0">
      <w:pPr>
        <w:jc w:val="both"/>
        <w:rPr>
          <w:rFonts w:ascii="Times New Roman" w:hAnsi="Times New Roman" w:cs="Times New Roman"/>
          <w:sz w:val="22"/>
          <w:szCs w:val="22"/>
        </w:rPr>
      </w:pPr>
      <w:r w:rsidRPr="00511A87">
        <w:rPr>
          <w:rFonts w:ascii="Times New Roman" w:hAnsi="Times New Roman" w:cs="Times New Roman"/>
          <w:sz w:val="22"/>
          <w:szCs w:val="22"/>
        </w:rPr>
        <w:t xml:space="preserve">Enfin, par esprit de clarté, l’arrêt revient également sur les conséquences d’un refus d’opposition au dépôt d’une marque. Dans son argumentaire, la société Puma explique que la communication des informations relative à la contestation antérieure n’est pas importante car cette dernière ne lie pas le juge. </w:t>
      </w:r>
    </w:p>
    <w:p w14:paraId="6BA64143" w14:textId="3442D2E6" w:rsidR="00756BC8" w:rsidRPr="00511A87" w:rsidRDefault="00756BC8" w:rsidP="000D4CB0">
      <w:pPr>
        <w:jc w:val="both"/>
        <w:rPr>
          <w:rFonts w:ascii="Times New Roman" w:hAnsi="Times New Roman" w:cs="Times New Roman"/>
          <w:sz w:val="22"/>
          <w:szCs w:val="22"/>
        </w:rPr>
      </w:pPr>
      <w:r w:rsidRPr="00511A87">
        <w:rPr>
          <w:rFonts w:ascii="Times New Roman" w:hAnsi="Times New Roman" w:cs="Times New Roman"/>
          <w:sz w:val="22"/>
          <w:szCs w:val="22"/>
        </w:rPr>
        <w:t xml:space="preserve">En effet, le refus de désignation comme imitation lors de la contestation d’un dépôt de marque ne lie pas le juge lorsqu’il est saisi d’une requête en saisie-contrefaçon. La Cour de cassation, dans son arrêt, consacre une partie de son argumentaire à rappeler ce principe. </w:t>
      </w:r>
      <w:r w:rsidR="00BA69D8">
        <w:rPr>
          <w:rFonts w:ascii="Times New Roman" w:hAnsi="Times New Roman" w:cs="Times New Roman"/>
          <w:sz w:val="22"/>
          <w:szCs w:val="22"/>
        </w:rPr>
        <w:t xml:space="preserve">Elle s’appuie notamment sur l’article 10 du code civil. La juridiction nous montre l’étendue des textes garantissant le devoir de loyauté en matière procédurale. On comprend alors l’importance que doit revêtir ce principe. </w:t>
      </w:r>
    </w:p>
    <w:p w14:paraId="408A792B" w14:textId="77777777" w:rsidR="006A7014" w:rsidRPr="00511A87" w:rsidRDefault="006A7014" w:rsidP="000D4CB0">
      <w:pPr>
        <w:jc w:val="both"/>
        <w:rPr>
          <w:rFonts w:ascii="Times New Roman" w:hAnsi="Times New Roman" w:cs="Times New Roman"/>
          <w:sz w:val="22"/>
          <w:szCs w:val="22"/>
        </w:rPr>
      </w:pPr>
    </w:p>
    <w:p w14:paraId="37E4D461" w14:textId="68FD0540" w:rsidR="009E7663" w:rsidRPr="00511A87" w:rsidRDefault="009E7663" w:rsidP="000D4CB0">
      <w:pPr>
        <w:jc w:val="both"/>
        <w:rPr>
          <w:rFonts w:ascii="Times New Roman" w:hAnsi="Times New Roman" w:cs="Times New Roman"/>
          <w:sz w:val="22"/>
          <w:szCs w:val="22"/>
        </w:rPr>
      </w:pPr>
      <w:r w:rsidRPr="00511A87">
        <w:rPr>
          <w:rFonts w:ascii="Times New Roman" w:hAnsi="Times New Roman" w:cs="Times New Roman"/>
          <w:sz w:val="22"/>
          <w:szCs w:val="22"/>
        </w:rPr>
        <w:t xml:space="preserve">En effet, l’objectif poursuivi par l’arrêt n’est pas de montrer un durcissement de la procédure de saisie-contrefaçon ou même de dresser un tempérament à cette procédure permettant une nuance à la protection des droits de propriété intellectuelle. </w:t>
      </w:r>
    </w:p>
    <w:p w14:paraId="1EC58EB8" w14:textId="1C00F233" w:rsidR="002E3D06" w:rsidRPr="00511A87" w:rsidRDefault="009E7663" w:rsidP="000D4CB0">
      <w:pPr>
        <w:jc w:val="both"/>
        <w:rPr>
          <w:rFonts w:ascii="Times New Roman" w:hAnsi="Times New Roman" w:cs="Times New Roman"/>
          <w:sz w:val="22"/>
          <w:szCs w:val="22"/>
        </w:rPr>
      </w:pPr>
      <w:r w:rsidRPr="00511A87">
        <w:rPr>
          <w:rFonts w:ascii="Times New Roman" w:hAnsi="Times New Roman" w:cs="Times New Roman"/>
          <w:sz w:val="22"/>
          <w:szCs w:val="22"/>
        </w:rPr>
        <w:t>Dans cet arrêt, l’enjeu reposait sur la juste réaffirmation des principes de propriété intellectuelle tout en opposant l’application stricte du devoir de loyauté sur la procédure de saisie-contrefaçon.</w:t>
      </w:r>
    </w:p>
    <w:p w14:paraId="6063D8A6" w14:textId="77777777" w:rsidR="00221E56" w:rsidRPr="00511A87" w:rsidRDefault="00221E56" w:rsidP="000D4CB0">
      <w:pPr>
        <w:jc w:val="both"/>
        <w:rPr>
          <w:rFonts w:ascii="Times New Roman" w:hAnsi="Times New Roman" w:cs="Times New Roman"/>
          <w:b/>
          <w:i/>
          <w:sz w:val="22"/>
          <w:szCs w:val="22"/>
          <w:u w:val="single"/>
        </w:rPr>
      </w:pPr>
    </w:p>
    <w:p w14:paraId="01B7854D" w14:textId="5FEC7E6F" w:rsidR="00B54701" w:rsidRPr="00511A87" w:rsidRDefault="00B54701" w:rsidP="000D4CB0">
      <w:pPr>
        <w:jc w:val="both"/>
        <w:rPr>
          <w:rFonts w:ascii="Times New Roman" w:hAnsi="Times New Roman" w:cs="Times New Roman"/>
          <w:b/>
          <w:i/>
          <w:sz w:val="22"/>
          <w:szCs w:val="22"/>
          <w:u w:val="single"/>
        </w:rPr>
      </w:pPr>
      <w:r w:rsidRPr="00511A87">
        <w:rPr>
          <w:rFonts w:ascii="Times New Roman" w:hAnsi="Times New Roman" w:cs="Times New Roman"/>
          <w:b/>
          <w:i/>
          <w:sz w:val="22"/>
          <w:szCs w:val="22"/>
          <w:u w:val="single"/>
        </w:rPr>
        <w:t>II /</w:t>
      </w:r>
      <w:r w:rsidR="002E3D06" w:rsidRPr="00511A87">
        <w:rPr>
          <w:rFonts w:ascii="Times New Roman" w:hAnsi="Times New Roman" w:cs="Times New Roman"/>
          <w:b/>
          <w:i/>
          <w:sz w:val="22"/>
          <w:szCs w:val="22"/>
          <w:u w:val="single"/>
        </w:rPr>
        <w:t xml:space="preserve"> Sous l’influence des directives Européenne</w:t>
      </w:r>
      <w:r w:rsidR="0004123A">
        <w:rPr>
          <w:rFonts w:ascii="Times New Roman" w:hAnsi="Times New Roman" w:cs="Times New Roman"/>
          <w:b/>
          <w:i/>
          <w:sz w:val="22"/>
          <w:szCs w:val="22"/>
          <w:u w:val="single"/>
        </w:rPr>
        <w:t>s</w:t>
      </w:r>
      <w:r w:rsidR="002E3D06" w:rsidRPr="00511A87">
        <w:rPr>
          <w:rFonts w:ascii="Times New Roman" w:hAnsi="Times New Roman" w:cs="Times New Roman"/>
          <w:b/>
          <w:i/>
          <w:sz w:val="22"/>
          <w:szCs w:val="22"/>
          <w:u w:val="single"/>
        </w:rPr>
        <w:t xml:space="preserve"> l</w:t>
      </w:r>
      <w:r w:rsidRPr="00511A87">
        <w:rPr>
          <w:rFonts w:ascii="Times New Roman" w:hAnsi="Times New Roman" w:cs="Times New Roman"/>
          <w:b/>
          <w:i/>
          <w:sz w:val="22"/>
          <w:szCs w:val="22"/>
          <w:u w:val="single"/>
        </w:rPr>
        <w:t xml:space="preserve">e principe de loyauté </w:t>
      </w:r>
      <w:r w:rsidR="002E3D06" w:rsidRPr="00511A87">
        <w:rPr>
          <w:rFonts w:ascii="Times New Roman" w:hAnsi="Times New Roman" w:cs="Times New Roman"/>
          <w:b/>
          <w:i/>
          <w:sz w:val="22"/>
          <w:szCs w:val="22"/>
          <w:u w:val="single"/>
        </w:rPr>
        <w:t>érigé</w:t>
      </w:r>
      <w:r w:rsidRPr="00511A87">
        <w:rPr>
          <w:rFonts w:ascii="Times New Roman" w:hAnsi="Times New Roman" w:cs="Times New Roman"/>
          <w:b/>
          <w:i/>
          <w:sz w:val="22"/>
          <w:szCs w:val="22"/>
          <w:u w:val="single"/>
        </w:rPr>
        <w:t xml:space="preserve"> </w:t>
      </w:r>
      <w:r w:rsidR="002E3D06" w:rsidRPr="00511A87">
        <w:rPr>
          <w:rFonts w:ascii="Times New Roman" w:hAnsi="Times New Roman" w:cs="Times New Roman"/>
          <w:b/>
          <w:i/>
          <w:sz w:val="22"/>
          <w:szCs w:val="22"/>
          <w:u w:val="single"/>
        </w:rPr>
        <w:t>comme principe</w:t>
      </w:r>
      <w:r w:rsidRPr="00511A87">
        <w:rPr>
          <w:rFonts w:ascii="Times New Roman" w:hAnsi="Times New Roman" w:cs="Times New Roman"/>
          <w:b/>
          <w:i/>
          <w:sz w:val="22"/>
          <w:szCs w:val="22"/>
          <w:u w:val="single"/>
        </w:rPr>
        <w:t xml:space="preserve"> de la transparence de la requête en saisie-contrefaçon</w:t>
      </w:r>
    </w:p>
    <w:p w14:paraId="37E25FE7" w14:textId="77777777" w:rsidR="002E3D06" w:rsidRPr="00511A87" w:rsidRDefault="002E3D06" w:rsidP="000D4CB0">
      <w:pPr>
        <w:jc w:val="both"/>
        <w:rPr>
          <w:rFonts w:ascii="Times New Roman" w:hAnsi="Times New Roman" w:cs="Times New Roman"/>
          <w:b/>
          <w:i/>
          <w:sz w:val="22"/>
          <w:szCs w:val="22"/>
          <w:u w:val="single"/>
        </w:rPr>
      </w:pPr>
    </w:p>
    <w:p w14:paraId="50E6F162" w14:textId="77777777" w:rsidR="005D5611" w:rsidRDefault="00934EFE" w:rsidP="000D4CB0">
      <w:pPr>
        <w:jc w:val="both"/>
        <w:rPr>
          <w:rFonts w:ascii="Times New Roman" w:hAnsi="Times New Roman" w:cs="Times New Roman"/>
          <w:sz w:val="22"/>
          <w:szCs w:val="22"/>
        </w:rPr>
      </w:pPr>
      <w:r w:rsidRPr="00511A87">
        <w:rPr>
          <w:rFonts w:ascii="Times New Roman" w:hAnsi="Times New Roman" w:cs="Times New Roman"/>
          <w:sz w:val="22"/>
          <w:szCs w:val="22"/>
        </w:rPr>
        <w:t xml:space="preserve">En effet, après son rappel des dispositions relatives à la forme de la procédure de saisie-contrefaçon, l’arrêt met en lumière l’article 3 de la directive 2004/48/CE du 29 avril 2004. Cette directive </w:t>
      </w:r>
      <w:r w:rsidR="00520C17" w:rsidRPr="00511A87">
        <w:rPr>
          <w:rFonts w:ascii="Times New Roman" w:hAnsi="Times New Roman" w:cs="Times New Roman"/>
          <w:sz w:val="22"/>
          <w:szCs w:val="22"/>
        </w:rPr>
        <w:t xml:space="preserve">du parlement européen est relative au respect des droits de propriété intellectuelle. Cette dernière exige que les procédures relatives à la protection des droits de propriété intellectuelles des Etats membres doivent être loyales et proportionnées. </w:t>
      </w:r>
    </w:p>
    <w:p w14:paraId="625AF4B1" w14:textId="77777777" w:rsidR="005D5611" w:rsidRDefault="005D5611" w:rsidP="000D4CB0">
      <w:pPr>
        <w:jc w:val="both"/>
        <w:rPr>
          <w:rFonts w:ascii="Times New Roman" w:hAnsi="Times New Roman" w:cs="Times New Roman"/>
          <w:sz w:val="22"/>
          <w:szCs w:val="22"/>
        </w:rPr>
      </w:pPr>
    </w:p>
    <w:p w14:paraId="0BB682E1" w14:textId="77777777" w:rsidR="005D5611" w:rsidRDefault="008F09E1" w:rsidP="000D4CB0">
      <w:pPr>
        <w:jc w:val="both"/>
        <w:rPr>
          <w:rFonts w:ascii="Times New Roman" w:hAnsi="Times New Roman" w:cs="Times New Roman"/>
          <w:sz w:val="22"/>
          <w:szCs w:val="22"/>
        </w:rPr>
      </w:pPr>
      <w:r w:rsidRPr="00511A87">
        <w:rPr>
          <w:rFonts w:ascii="Times New Roman" w:hAnsi="Times New Roman" w:cs="Times New Roman"/>
          <w:sz w:val="22"/>
          <w:szCs w:val="22"/>
        </w:rPr>
        <w:t xml:space="preserve">L’arrêt poursuit directement par un parallèle entre les dispositions nationales du CPI citées dans le début de son attendu et la directive. En effet, ce dernier emploi l’expression « lues à la lumière de la directive ». Par conséquent, la Cour réaffirme non seulement le principe de loyauté de la directive en matière de propriété intellectuelle mais fait également transparaître la conciliation entre les dispositions nationales et européennes en matière de propriété intellectuelle. </w:t>
      </w:r>
    </w:p>
    <w:p w14:paraId="4D8CFB7B" w14:textId="77777777" w:rsidR="005D5611" w:rsidRDefault="005D5611" w:rsidP="000D4CB0">
      <w:pPr>
        <w:jc w:val="both"/>
        <w:rPr>
          <w:rFonts w:ascii="Times New Roman" w:hAnsi="Times New Roman" w:cs="Times New Roman"/>
          <w:sz w:val="22"/>
          <w:szCs w:val="22"/>
        </w:rPr>
      </w:pPr>
    </w:p>
    <w:p w14:paraId="027ECBFA" w14:textId="32C6F565" w:rsidR="009E7663" w:rsidRPr="00511A87" w:rsidRDefault="00180D32" w:rsidP="000D4CB0">
      <w:pPr>
        <w:jc w:val="both"/>
        <w:rPr>
          <w:rFonts w:ascii="Times New Roman" w:hAnsi="Times New Roman" w:cs="Times New Roman"/>
          <w:sz w:val="22"/>
          <w:szCs w:val="22"/>
        </w:rPr>
      </w:pPr>
      <w:r w:rsidRPr="00511A87">
        <w:rPr>
          <w:rFonts w:ascii="Times New Roman" w:hAnsi="Times New Roman" w:cs="Times New Roman"/>
          <w:sz w:val="22"/>
          <w:szCs w:val="22"/>
        </w:rPr>
        <w:t>La juridiction explique que</w:t>
      </w:r>
      <w:r w:rsidR="005D5611">
        <w:rPr>
          <w:rFonts w:ascii="Times New Roman" w:hAnsi="Times New Roman" w:cs="Times New Roman"/>
          <w:sz w:val="22"/>
          <w:szCs w:val="22"/>
        </w:rPr>
        <w:t xml:space="preserve"> l</w:t>
      </w:r>
      <w:r w:rsidRPr="00511A87">
        <w:rPr>
          <w:rFonts w:ascii="Times New Roman" w:hAnsi="Times New Roman" w:cs="Times New Roman"/>
          <w:sz w:val="22"/>
          <w:szCs w:val="22"/>
        </w:rPr>
        <w:t>e devoir de loyauté s’inscrit dans une démarche de donner au juge le pouvoir d’autoriser une mesure proportionnée. On comprend qu’à l’instar des idées</w:t>
      </w:r>
      <w:r w:rsidR="00777AFD" w:rsidRPr="00511A87">
        <w:rPr>
          <w:rFonts w:ascii="Times New Roman" w:hAnsi="Times New Roman" w:cs="Times New Roman"/>
          <w:sz w:val="22"/>
          <w:szCs w:val="22"/>
        </w:rPr>
        <w:t xml:space="preserve"> de</w:t>
      </w:r>
      <w:r w:rsidRPr="00511A87">
        <w:rPr>
          <w:rFonts w:ascii="Times New Roman" w:hAnsi="Times New Roman" w:cs="Times New Roman"/>
          <w:sz w:val="22"/>
          <w:szCs w:val="22"/>
        </w:rPr>
        <w:t xml:space="preserve"> Joachim</w:t>
      </w:r>
      <w:r w:rsidR="005D5611">
        <w:rPr>
          <w:rFonts w:ascii="Times New Roman" w:hAnsi="Times New Roman" w:cs="Times New Roman"/>
          <w:sz w:val="22"/>
          <w:szCs w:val="22"/>
        </w:rPr>
        <w:t xml:space="preserve"> WATHELET dans l’ouvrage « La loyauté en droit de la propriété intellectuelle »</w:t>
      </w:r>
      <w:r w:rsidRPr="00511A87">
        <w:rPr>
          <w:rFonts w:ascii="Times New Roman" w:hAnsi="Times New Roman" w:cs="Times New Roman"/>
          <w:sz w:val="22"/>
          <w:szCs w:val="22"/>
        </w:rPr>
        <w:t>, l’arrêt poursuit également un but d’encadrement de la propriété intellectuelle à travers ce principe de loyauté dans la procédure. La Cour nous montre clairement une volonté de transparence dans la procédure de saisie-contrefaçon</w:t>
      </w:r>
      <w:r w:rsidR="00777AFD" w:rsidRPr="00511A87">
        <w:rPr>
          <w:rFonts w:ascii="Times New Roman" w:hAnsi="Times New Roman" w:cs="Times New Roman"/>
          <w:sz w:val="22"/>
          <w:szCs w:val="22"/>
        </w:rPr>
        <w:t>.</w:t>
      </w:r>
    </w:p>
    <w:p w14:paraId="76440F7A" w14:textId="0EBB5CFE" w:rsidR="00777AFD" w:rsidRPr="00511A87" w:rsidRDefault="00777AFD" w:rsidP="000D4CB0">
      <w:pPr>
        <w:jc w:val="both"/>
        <w:rPr>
          <w:rFonts w:ascii="Times New Roman" w:hAnsi="Times New Roman" w:cs="Times New Roman"/>
          <w:sz w:val="22"/>
          <w:szCs w:val="22"/>
        </w:rPr>
      </w:pPr>
      <w:r w:rsidRPr="00511A87">
        <w:rPr>
          <w:rFonts w:ascii="Times New Roman" w:hAnsi="Times New Roman" w:cs="Times New Roman"/>
          <w:sz w:val="22"/>
          <w:szCs w:val="22"/>
        </w:rPr>
        <w:t>Par conséquent, dans les circonstances de l’espèce</w:t>
      </w:r>
      <w:r w:rsidR="002E3D06" w:rsidRPr="00511A87">
        <w:rPr>
          <w:rFonts w:ascii="Times New Roman" w:hAnsi="Times New Roman" w:cs="Times New Roman"/>
          <w:sz w:val="22"/>
          <w:szCs w:val="22"/>
        </w:rPr>
        <w:t>, l’abstention des sociétés P</w:t>
      </w:r>
      <w:r w:rsidR="006A7014" w:rsidRPr="00511A87">
        <w:rPr>
          <w:rFonts w:ascii="Times New Roman" w:hAnsi="Times New Roman" w:cs="Times New Roman"/>
          <w:sz w:val="22"/>
          <w:szCs w:val="22"/>
        </w:rPr>
        <w:t>uma quant à l</w:t>
      </w:r>
      <w:r w:rsidR="002E3D06" w:rsidRPr="00511A87">
        <w:rPr>
          <w:rFonts w:ascii="Times New Roman" w:hAnsi="Times New Roman" w:cs="Times New Roman"/>
          <w:sz w:val="22"/>
          <w:szCs w:val="22"/>
        </w:rPr>
        <w:t>a communication au juge de la procédure antérieure</w:t>
      </w:r>
      <w:r w:rsidR="003F0AF9" w:rsidRPr="00511A87">
        <w:rPr>
          <w:rFonts w:ascii="Times New Roman" w:hAnsi="Times New Roman" w:cs="Times New Roman"/>
          <w:sz w:val="22"/>
          <w:szCs w:val="22"/>
        </w:rPr>
        <w:t xml:space="preserve"> de contestation de dépôt de marque ainsi que la décision rendu</w:t>
      </w:r>
      <w:r w:rsidR="0004123A">
        <w:rPr>
          <w:rFonts w:ascii="Times New Roman" w:hAnsi="Times New Roman" w:cs="Times New Roman"/>
          <w:sz w:val="22"/>
          <w:szCs w:val="22"/>
        </w:rPr>
        <w:t>e</w:t>
      </w:r>
      <w:r w:rsidR="003F0AF9" w:rsidRPr="00511A87">
        <w:rPr>
          <w:rFonts w:ascii="Times New Roman" w:hAnsi="Times New Roman" w:cs="Times New Roman"/>
          <w:sz w:val="22"/>
          <w:szCs w:val="22"/>
        </w:rPr>
        <w:t xml:space="preserve"> par les juridictions administratives à ce propos, est un manquement au principe de loyauté. La Cour de cassation rejette le pourvoi au motif que la Cour d’appel a retenu à juste titre le manquement au devoir de loyauté de la société Puma. </w:t>
      </w:r>
    </w:p>
    <w:p w14:paraId="2A5D164D" w14:textId="77777777" w:rsidR="003F0AF9" w:rsidRPr="00511A87" w:rsidRDefault="003F0AF9" w:rsidP="000D4CB0">
      <w:pPr>
        <w:jc w:val="both"/>
        <w:rPr>
          <w:rFonts w:ascii="Times New Roman" w:hAnsi="Times New Roman" w:cs="Times New Roman"/>
          <w:sz w:val="22"/>
          <w:szCs w:val="22"/>
        </w:rPr>
      </w:pPr>
    </w:p>
    <w:p w14:paraId="274E9E75" w14:textId="0C8296B6" w:rsidR="00613A81" w:rsidRPr="00511A87" w:rsidRDefault="003F0AF9" w:rsidP="000D4CB0">
      <w:pPr>
        <w:jc w:val="both"/>
        <w:rPr>
          <w:rFonts w:ascii="Times New Roman" w:hAnsi="Times New Roman" w:cs="Times New Roman"/>
          <w:sz w:val="22"/>
          <w:szCs w:val="22"/>
        </w:rPr>
      </w:pPr>
      <w:r w:rsidRPr="00511A87">
        <w:rPr>
          <w:rFonts w:ascii="Times New Roman" w:hAnsi="Times New Roman" w:cs="Times New Roman"/>
          <w:sz w:val="22"/>
          <w:szCs w:val="22"/>
        </w:rPr>
        <w:t>Cet arrêt est très intéressant dans la mesure où le caractère inquisitoire de cette procédure de saisie-contrefaçon permet, sous couvert de préparation d’une action en justice, d’acquérir des données sensibles chez un concurrent. Par conséquent, ce</w:t>
      </w:r>
      <w:r w:rsidR="0004123A">
        <w:rPr>
          <w:rFonts w:ascii="Times New Roman" w:hAnsi="Times New Roman" w:cs="Times New Roman"/>
          <w:sz w:val="22"/>
          <w:szCs w:val="22"/>
        </w:rPr>
        <w:t>tte procédure a donné lieu à de</w:t>
      </w:r>
      <w:r w:rsidRPr="00511A87">
        <w:rPr>
          <w:rFonts w:ascii="Times New Roman" w:hAnsi="Times New Roman" w:cs="Times New Roman"/>
          <w:sz w:val="22"/>
          <w:szCs w:val="22"/>
        </w:rPr>
        <w:t xml:space="preserve"> nombreux abus. </w:t>
      </w:r>
      <w:r w:rsidR="00613A81" w:rsidRPr="00511A87">
        <w:rPr>
          <w:rFonts w:ascii="Times New Roman" w:hAnsi="Times New Roman" w:cs="Times New Roman"/>
          <w:sz w:val="22"/>
          <w:szCs w:val="22"/>
        </w:rPr>
        <w:t xml:space="preserve">La loi du 30 juillet 2018 sur le secret des affaires n’a que partiellement endiguer ces abus. Le principe de loyauté rappelé dans cet arrêt vient en amont de la procédure exiger cette transparence préventive à ces abus. </w:t>
      </w:r>
    </w:p>
    <w:p w14:paraId="0E21A548" w14:textId="38B555A5" w:rsidR="00613A81" w:rsidRPr="00511A87" w:rsidRDefault="00613A81" w:rsidP="000D4CB0">
      <w:pPr>
        <w:jc w:val="both"/>
        <w:rPr>
          <w:rFonts w:ascii="Times New Roman" w:hAnsi="Times New Roman" w:cs="Times New Roman"/>
          <w:sz w:val="22"/>
          <w:szCs w:val="22"/>
        </w:rPr>
      </w:pPr>
      <w:r w:rsidRPr="00511A87">
        <w:rPr>
          <w:rFonts w:ascii="Times New Roman" w:hAnsi="Times New Roman" w:cs="Times New Roman"/>
          <w:sz w:val="22"/>
          <w:szCs w:val="22"/>
        </w:rPr>
        <w:t>Cet arrêt n’es</w:t>
      </w:r>
      <w:r w:rsidR="0004123A">
        <w:rPr>
          <w:rFonts w:ascii="Times New Roman" w:hAnsi="Times New Roman" w:cs="Times New Roman"/>
          <w:sz w:val="22"/>
          <w:szCs w:val="22"/>
        </w:rPr>
        <w:t>t pas un tournant majeur de la propriété i</w:t>
      </w:r>
      <w:bookmarkStart w:id="0" w:name="_GoBack"/>
      <w:bookmarkEnd w:id="0"/>
      <w:r w:rsidRPr="00511A87">
        <w:rPr>
          <w:rFonts w:ascii="Times New Roman" w:hAnsi="Times New Roman" w:cs="Times New Roman"/>
          <w:sz w:val="22"/>
          <w:szCs w:val="22"/>
        </w:rPr>
        <w:t>ntellectuelle. En effet, un arrêt du 7 juin 2005 (1</w:t>
      </w:r>
      <w:r w:rsidRPr="00511A87">
        <w:rPr>
          <w:rFonts w:ascii="Times New Roman" w:hAnsi="Times New Roman" w:cs="Times New Roman"/>
          <w:sz w:val="22"/>
          <w:szCs w:val="22"/>
          <w:vertAlign w:val="superscript"/>
        </w:rPr>
        <w:t>re</w:t>
      </w:r>
      <w:r w:rsidRPr="00511A87">
        <w:rPr>
          <w:rFonts w:ascii="Times New Roman" w:hAnsi="Times New Roman" w:cs="Times New Roman"/>
          <w:sz w:val="22"/>
          <w:szCs w:val="22"/>
        </w:rPr>
        <w:t xml:space="preserve"> Civ., 7 juin 2005, n°05-60.044) avait déjà détaillé la portée du principe de loyauté pour en dégager l’exigence de communication en temps utile « les éléments en leur possession, en particulier lorsqu’ils sont susceptibles de modifier l’opinion des juges ». </w:t>
      </w:r>
    </w:p>
    <w:p w14:paraId="1AAB1B83" w14:textId="77777777" w:rsidR="00756BC8" w:rsidRPr="00511A87" w:rsidRDefault="00756BC8" w:rsidP="000D4CB0">
      <w:pPr>
        <w:jc w:val="both"/>
        <w:rPr>
          <w:rFonts w:ascii="Times New Roman" w:hAnsi="Times New Roman" w:cs="Times New Roman"/>
          <w:sz w:val="22"/>
          <w:szCs w:val="22"/>
        </w:rPr>
      </w:pPr>
    </w:p>
    <w:p w14:paraId="10BE8C25" w14:textId="7913191E" w:rsidR="00511A87" w:rsidRPr="00511A87" w:rsidRDefault="00756BC8" w:rsidP="000D4CB0">
      <w:pPr>
        <w:jc w:val="both"/>
        <w:rPr>
          <w:rFonts w:ascii="Times New Roman" w:hAnsi="Times New Roman" w:cs="Times New Roman"/>
          <w:sz w:val="22"/>
          <w:szCs w:val="22"/>
        </w:rPr>
      </w:pPr>
      <w:r w:rsidRPr="00511A87">
        <w:rPr>
          <w:rFonts w:ascii="Times New Roman" w:hAnsi="Times New Roman" w:cs="Times New Roman"/>
          <w:sz w:val="22"/>
          <w:szCs w:val="22"/>
        </w:rPr>
        <w:t xml:space="preserve">Par conséquent, cet arrêt est une déclaration d’un renforcement </w:t>
      </w:r>
      <w:r w:rsidRPr="00511A87">
        <w:rPr>
          <w:rFonts w:ascii="Times New Roman" w:hAnsi="Times New Roman" w:cs="Times New Roman"/>
          <w:i/>
          <w:sz w:val="22"/>
          <w:szCs w:val="22"/>
        </w:rPr>
        <w:t>ab initio</w:t>
      </w:r>
      <w:r w:rsidRPr="00511A87">
        <w:rPr>
          <w:rFonts w:ascii="Times New Roman" w:hAnsi="Times New Roman" w:cs="Times New Roman"/>
          <w:sz w:val="22"/>
          <w:szCs w:val="22"/>
        </w:rPr>
        <w:t xml:space="preserve"> du principe de loyauté dans la procédure de saisie-contrefaçon.</w:t>
      </w:r>
    </w:p>
    <w:p w14:paraId="6CB77E25" w14:textId="77777777" w:rsidR="00511A87" w:rsidRPr="00511A87" w:rsidRDefault="00511A87" w:rsidP="00511A87">
      <w:pPr>
        <w:jc w:val="right"/>
        <w:rPr>
          <w:rFonts w:ascii="Times New Roman" w:hAnsi="Times New Roman" w:cs="Times New Roman"/>
          <w:sz w:val="22"/>
          <w:szCs w:val="22"/>
        </w:rPr>
      </w:pPr>
    </w:p>
    <w:p w14:paraId="566F4129" w14:textId="05239525" w:rsidR="00511A87" w:rsidRPr="00511A87" w:rsidRDefault="00511A87" w:rsidP="00511A87">
      <w:pPr>
        <w:jc w:val="right"/>
        <w:rPr>
          <w:rFonts w:ascii="Times New Roman" w:hAnsi="Times New Roman" w:cs="Times New Roman"/>
          <w:sz w:val="22"/>
          <w:szCs w:val="22"/>
        </w:rPr>
      </w:pPr>
      <w:r w:rsidRPr="00511A87">
        <w:rPr>
          <w:rFonts w:ascii="Times New Roman" w:hAnsi="Times New Roman" w:cs="Times New Roman"/>
          <w:sz w:val="22"/>
          <w:szCs w:val="22"/>
        </w:rPr>
        <w:t>Hugo CATELAN</w:t>
      </w:r>
    </w:p>
    <w:p w14:paraId="411D585A" w14:textId="1DD3391B" w:rsidR="00511A87" w:rsidRPr="00511A87" w:rsidRDefault="00511A87" w:rsidP="00511A87">
      <w:pPr>
        <w:jc w:val="right"/>
        <w:rPr>
          <w:rFonts w:ascii="Times New Roman" w:hAnsi="Times New Roman" w:cs="Times New Roman"/>
          <w:sz w:val="22"/>
          <w:szCs w:val="22"/>
        </w:rPr>
      </w:pPr>
      <w:r w:rsidRPr="00511A87">
        <w:rPr>
          <w:rFonts w:ascii="Times New Roman" w:hAnsi="Times New Roman" w:cs="Times New Roman"/>
          <w:sz w:val="22"/>
          <w:szCs w:val="22"/>
        </w:rPr>
        <w:t>Master 2 Droit de la création artistique et du numérique</w:t>
      </w:r>
    </w:p>
    <w:p w14:paraId="53A92A26" w14:textId="6F8786AB" w:rsidR="000D4CB0" w:rsidRPr="00511A87" w:rsidRDefault="00511A87" w:rsidP="00511A87">
      <w:pPr>
        <w:jc w:val="right"/>
        <w:rPr>
          <w:rFonts w:ascii="Times New Roman" w:hAnsi="Times New Roman" w:cs="Times New Roman"/>
          <w:sz w:val="22"/>
          <w:szCs w:val="22"/>
        </w:rPr>
        <w:sectPr w:rsidR="000D4CB0" w:rsidRPr="00511A87" w:rsidSect="00B54701">
          <w:type w:val="continuous"/>
          <w:pgSz w:w="11900" w:h="16840"/>
          <w:pgMar w:top="1417" w:right="1417" w:bottom="1417" w:left="1417" w:header="708" w:footer="708" w:gutter="0"/>
          <w:cols w:num="2" w:space="708"/>
          <w:docGrid w:linePitch="360"/>
        </w:sectPr>
      </w:pPr>
      <w:r w:rsidRPr="00511A87">
        <w:rPr>
          <w:rFonts w:ascii="Times New Roman" w:hAnsi="Times New Roman" w:cs="Times New Roman"/>
          <w:sz w:val="22"/>
          <w:szCs w:val="22"/>
        </w:rPr>
        <w:t>AIX MARSEILLE UNIVERSITE</w:t>
      </w:r>
    </w:p>
    <w:p w14:paraId="2187464D" w14:textId="77777777" w:rsidR="00194EA4" w:rsidRPr="00511A87" w:rsidRDefault="00194EA4" w:rsidP="00511A87">
      <w:pPr>
        <w:rPr>
          <w:rFonts w:ascii="Times New Roman" w:hAnsi="Times New Roman" w:cs="Times New Roman"/>
          <w:sz w:val="22"/>
          <w:szCs w:val="22"/>
        </w:rPr>
        <w:sectPr w:rsidR="00194EA4" w:rsidRPr="00511A87" w:rsidSect="000D4CB0">
          <w:type w:val="continuous"/>
          <w:pgSz w:w="11900" w:h="16840"/>
          <w:pgMar w:top="1417" w:right="1417" w:bottom="1417" w:left="1417" w:header="708" w:footer="708" w:gutter="0"/>
          <w:cols w:space="708"/>
          <w:docGrid w:linePitch="360"/>
        </w:sectPr>
      </w:pPr>
    </w:p>
    <w:p w14:paraId="15C0F73D" w14:textId="77777777" w:rsidR="005D5611" w:rsidRDefault="005D5611" w:rsidP="00194EA4">
      <w:pPr>
        <w:jc w:val="both"/>
        <w:rPr>
          <w:rFonts w:ascii="Times New Roman" w:hAnsi="Times New Roman" w:cs="Times New Roman"/>
          <w:b/>
          <w:sz w:val="22"/>
          <w:szCs w:val="22"/>
        </w:rPr>
      </w:pPr>
    </w:p>
    <w:p w14:paraId="26D9A6F1" w14:textId="77777777" w:rsidR="005D5611" w:rsidRDefault="005D5611" w:rsidP="00194EA4">
      <w:pPr>
        <w:jc w:val="both"/>
        <w:rPr>
          <w:rFonts w:ascii="Times New Roman" w:hAnsi="Times New Roman" w:cs="Times New Roman"/>
          <w:b/>
          <w:sz w:val="22"/>
          <w:szCs w:val="22"/>
        </w:rPr>
      </w:pPr>
    </w:p>
    <w:p w14:paraId="06E645D8" w14:textId="77777777" w:rsidR="005D5611" w:rsidRDefault="005D5611" w:rsidP="00194EA4">
      <w:pPr>
        <w:jc w:val="both"/>
        <w:rPr>
          <w:rFonts w:ascii="Times New Roman" w:hAnsi="Times New Roman" w:cs="Times New Roman"/>
          <w:b/>
          <w:sz w:val="22"/>
          <w:szCs w:val="22"/>
        </w:rPr>
      </w:pPr>
    </w:p>
    <w:p w14:paraId="4B121E39" w14:textId="77777777" w:rsidR="005D5611" w:rsidRDefault="005D5611" w:rsidP="00194EA4">
      <w:pPr>
        <w:jc w:val="both"/>
        <w:rPr>
          <w:rFonts w:ascii="Times New Roman" w:hAnsi="Times New Roman" w:cs="Times New Roman"/>
          <w:b/>
          <w:sz w:val="22"/>
          <w:szCs w:val="22"/>
        </w:rPr>
      </w:pPr>
    </w:p>
    <w:p w14:paraId="111E57BD" w14:textId="77777777" w:rsidR="005D5611" w:rsidRDefault="005D5611" w:rsidP="00194EA4">
      <w:pPr>
        <w:jc w:val="both"/>
        <w:rPr>
          <w:rFonts w:ascii="Times New Roman" w:hAnsi="Times New Roman" w:cs="Times New Roman"/>
          <w:b/>
          <w:sz w:val="22"/>
          <w:szCs w:val="22"/>
        </w:rPr>
      </w:pPr>
    </w:p>
    <w:p w14:paraId="541897C5" w14:textId="77777777" w:rsidR="005D5611" w:rsidRDefault="005D5611" w:rsidP="00194EA4">
      <w:pPr>
        <w:jc w:val="both"/>
        <w:rPr>
          <w:rFonts w:ascii="Times New Roman" w:hAnsi="Times New Roman" w:cs="Times New Roman"/>
          <w:b/>
          <w:sz w:val="22"/>
          <w:szCs w:val="22"/>
        </w:rPr>
      </w:pPr>
    </w:p>
    <w:p w14:paraId="4E833D8D" w14:textId="77777777" w:rsidR="005D5611" w:rsidRDefault="005D5611" w:rsidP="00194EA4">
      <w:pPr>
        <w:jc w:val="both"/>
        <w:rPr>
          <w:rFonts w:ascii="Times New Roman" w:hAnsi="Times New Roman" w:cs="Times New Roman"/>
          <w:b/>
          <w:sz w:val="22"/>
          <w:szCs w:val="22"/>
        </w:rPr>
      </w:pPr>
    </w:p>
    <w:p w14:paraId="1BDD3406" w14:textId="77777777" w:rsidR="005D5611" w:rsidRDefault="005D5611" w:rsidP="00194EA4">
      <w:pPr>
        <w:jc w:val="both"/>
        <w:rPr>
          <w:rFonts w:ascii="Times New Roman" w:hAnsi="Times New Roman" w:cs="Times New Roman"/>
          <w:b/>
          <w:sz w:val="22"/>
          <w:szCs w:val="22"/>
        </w:rPr>
      </w:pPr>
    </w:p>
    <w:p w14:paraId="792859AF" w14:textId="1C059872" w:rsidR="00194EA4" w:rsidRPr="00511A87" w:rsidRDefault="00194EA4" w:rsidP="00194EA4">
      <w:pPr>
        <w:jc w:val="both"/>
        <w:rPr>
          <w:rFonts w:ascii="Times New Roman" w:hAnsi="Times New Roman" w:cs="Times New Roman"/>
          <w:b/>
          <w:i/>
          <w:sz w:val="22"/>
          <w:szCs w:val="22"/>
        </w:rPr>
      </w:pPr>
      <w:r w:rsidRPr="00511A87">
        <w:rPr>
          <w:rFonts w:ascii="Times New Roman" w:hAnsi="Times New Roman" w:cs="Times New Roman"/>
          <w:b/>
          <w:sz w:val="22"/>
          <w:szCs w:val="22"/>
        </w:rPr>
        <w:t xml:space="preserve">Arrêt : </w:t>
      </w:r>
      <w:r w:rsidRPr="00511A87">
        <w:rPr>
          <w:rFonts w:ascii="Times New Roman" w:hAnsi="Times New Roman" w:cs="Times New Roman"/>
          <w:b/>
          <w:i/>
          <w:sz w:val="22"/>
          <w:szCs w:val="22"/>
        </w:rPr>
        <w:t>Cour de cassation - Chambre commerciale : Arrêt 6 décembre 2023 / n°22-11.071</w:t>
      </w:r>
    </w:p>
    <w:p w14:paraId="646864F8" w14:textId="77777777" w:rsidR="00194EA4" w:rsidRPr="00511A87" w:rsidRDefault="00194EA4" w:rsidP="000D4CB0">
      <w:pPr>
        <w:rPr>
          <w:rFonts w:ascii="Times New Roman" w:hAnsi="Times New Roman" w:cs="Times New Roman"/>
          <w:sz w:val="22"/>
          <w:szCs w:val="22"/>
        </w:rPr>
        <w:sectPr w:rsidR="00194EA4" w:rsidRPr="00511A87" w:rsidSect="00194EA4">
          <w:type w:val="continuous"/>
          <w:pgSz w:w="11900" w:h="16840"/>
          <w:pgMar w:top="1417" w:right="1417" w:bottom="1417" w:left="1417" w:header="708" w:footer="708" w:gutter="0"/>
          <w:cols w:num="2" w:space="708"/>
          <w:docGrid w:linePitch="360"/>
        </w:sectPr>
      </w:pPr>
    </w:p>
    <w:p w14:paraId="1A01CEBC" w14:textId="77777777" w:rsidR="00913FDC" w:rsidRDefault="00913FDC" w:rsidP="00913FDC">
      <w:pPr>
        <w:rPr>
          <w:rFonts w:ascii="Times New Roman" w:hAnsi="Times New Roman" w:cs="Times New Roman"/>
        </w:rPr>
      </w:pPr>
    </w:p>
    <w:p w14:paraId="7AC01EE7" w14:textId="7C14504F" w:rsidR="00194EA4" w:rsidRDefault="00913FDC" w:rsidP="00913FDC">
      <w:pPr>
        <w:rPr>
          <w:rFonts w:ascii="Times New Roman" w:hAnsi="Times New Roman" w:cs="Times New Roman"/>
        </w:rPr>
      </w:pPr>
      <w:r>
        <w:rPr>
          <w:rFonts w:ascii="Times New Roman" w:hAnsi="Times New Roman" w:cs="Times New Roman"/>
        </w:rPr>
        <w:t>{…}</w:t>
      </w:r>
    </w:p>
    <w:p w14:paraId="3259D4B2" w14:textId="77777777" w:rsidR="00913FDC" w:rsidRPr="00913FDC" w:rsidRDefault="00913FDC" w:rsidP="00913FDC">
      <w:pPr>
        <w:rPr>
          <w:rFonts w:ascii="Times New Roman" w:hAnsi="Times New Roman" w:cs="Times New Roman"/>
        </w:rPr>
      </w:pPr>
    </w:p>
    <w:p w14:paraId="77E3D79F" w14:textId="1300BA69" w:rsidR="00913FDC" w:rsidRPr="00913FDC" w:rsidRDefault="00913FDC" w:rsidP="00913FDC">
      <w:pPr>
        <w:rPr>
          <w:rFonts w:ascii="Times New Roman" w:eastAsia="Times New Roman" w:hAnsi="Times New Roman" w:cs="Times New Roman"/>
          <w:color w:val="000000"/>
          <w:lang w:eastAsia="fr-FR"/>
        </w:rPr>
      </w:pPr>
      <w:r w:rsidRPr="00913FDC">
        <w:rPr>
          <w:rFonts w:ascii="Times New Roman" w:eastAsia="Times New Roman" w:hAnsi="Times New Roman" w:cs="Times New Roman"/>
          <w:color w:val="000000"/>
          <w:lang w:eastAsia="fr-FR"/>
        </w:rPr>
        <w:t>8. Aux termes de l'article L. 716-7, devenu L. 716-4-7, alinéas 1 et 2, du code de la propriété intellectuelle, la</w:t>
      </w:r>
      <w:r w:rsidRPr="00913FDC">
        <w:rPr>
          <w:rFonts w:ascii="Times New Roman" w:hAnsi="Times New Roman" w:cs="Times New Roman"/>
        </w:rPr>
        <w:t> contrefaçon </w:t>
      </w:r>
      <w:r w:rsidRPr="00913FDC">
        <w:rPr>
          <w:rFonts w:ascii="Times New Roman" w:eastAsia="Times New Roman" w:hAnsi="Times New Roman" w:cs="Times New Roman"/>
          <w:color w:val="000000"/>
          <w:lang w:eastAsia="fr-FR"/>
        </w:rPr>
        <w:t>peut être prouvée par tous moyens. A cet effet, toute personne ayant qualité pour agir en </w:t>
      </w:r>
      <w:r w:rsidRPr="00913FDC">
        <w:rPr>
          <w:rFonts w:ascii="Times New Roman" w:hAnsi="Times New Roman" w:cs="Times New Roman"/>
        </w:rPr>
        <w:t>contrefaçon</w:t>
      </w:r>
      <w:r w:rsidRPr="00913FDC">
        <w:rPr>
          <w:rFonts w:ascii="Times New Roman" w:eastAsia="Times New Roman" w:hAnsi="Times New Roman" w:cs="Times New Roman"/>
          <w:color w:val="000000"/>
          <w:lang w:eastAsia="fr-FR"/>
        </w:rPr>
        <w:t> est en droit de faire procéder en tout lieu et par tous huissiers, le cas échéant assistés d'experts désignés par le demandeur, en vertu d'une ordonnance rendue sur requête par la juridiction civile compétente, soit à la description détaillée, avec ou sans prélèvement d'échantillons, soit à la saisie réelle des produits ou services prétendus contrefaisants ainsi que de tout document s'y rapportant. L'ordonnance peut autoriser la saisie réelle de tout document se rapportant aux produits et services prétendus contrefaisants en l'absence de ces derniers.</w:t>
      </w:r>
    </w:p>
    <w:p w14:paraId="090DDB13" w14:textId="77777777" w:rsidR="00913FDC" w:rsidRDefault="00913FDC" w:rsidP="00913FDC">
      <w:pPr>
        <w:rPr>
          <w:rFonts w:ascii="Times New Roman" w:eastAsia="Times New Roman" w:hAnsi="Times New Roman" w:cs="Times New Roman"/>
          <w:color w:val="000000"/>
          <w:lang w:eastAsia="fr-FR"/>
        </w:rPr>
      </w:pPr>
    </w:p>
    <w:p w14:paraId="7AD3E5F8" w14:textId="77777777" w:rsidR="00913FDC" w:rsidRPr="00913FDC" w:rsidRDefault="00913FDC" w:rsidP="00913FDC">
      <w:pPr>
        <w:rPr>
          <w:rFonts w:ascii="Times New Roman" w:eastAsia="Times New Roman" w:hAnsi="Times New Roman" w:cs="Times New Roman"/>
          <w:color w:val="000000"/>
          <w:lang w:eastAsia="fr-FR"/>
        </w:rPr>
      </w:pPr>
      <w:r w:rsidRPr="00913FDC">
        <w:rPr>
          <w:rFonts w:ascii="Times New Roman" w:eastAsia="Times New Roman" w:hAnsi="Times New Roman" w:cs="Times New Roman"/>
          <w:color w:val="000000"/>
          <w:lang w:eastAsia="fr-FR"/>
        </w:rPr>
        <w:t>9. La Cour de cassation juge que ces dispositions permettent au titulaire d'un droit de propriété industrielle de bénéficier de cette procédure sans avoir à justifier de circonstances particulières nécessitant d'y recourir de manière non contradictoire, et sont à ce titre considérées comme exorbitantes du droit commun (Com., 22 mars 2023, pourvoi n° 21-21.467), le juge saisi ne pouvant refuser d'accueillir la demande dès lors qu'elle lui a été présentée dans les formes et avec les justifications prévues par la loi (Com., 29 juin 1999, pourvoi n° 97-12.699, Bull. 1999, IV, n° 138).</w:t>
      </w:r>
    </w:p>
    <w:p w14:paraId="739A274A" w14:textId="77777777" w:rsidR="00913FDC" w:rsidRDefault="00913FDC" w:rsidP="00913FDC">
      <w:pPr>
        <w:rPr>
          <w:rFonts w:ascii="Times New Roman" w:eastAsia="Times New Roman" w:hAnsi="Times New Roman" w:cs="Times New Roman"/>
          <w:color w:val="000000"/>
          <w:lang w:eastAsia="fr-FR"/>
        </w:rPr>
      </w:pPr>
    </w:p>
    <w:p w14:paraId="2E2A5AFF" w14:textId="77777777" w:rsidR="00913FDC" w:rsidRPr="00913FDC" w:rsidRDefault="00913FDC" w:rsidP="00913FDC">
      <w:pPr>
        <w:rPr>
          <w:rFonts w:ascii="Times New Roman" w:eastAsia="Times New Roman" w:hAnsi="Times New Roman" w:cs="Times New Roman"/>
          <w:color w:val="000000"/>
          <w:lang w:eastAsia="fr-FR"/>
        </w:rPr>
      </w:pPr>
      <w:r w:rsidRPr="00913FDC">
        <w:rPr>
          <w:rFonts w:ascii="Times New Roman" w:eastAsia="Times New Roman" w:hAnsi="Times New Roman" w:cs="Times New Roman"/>
          <w:color w:val="000000"/>
          <w:lang w:eastAsia="fr-FR"/>
        </w:rPr>
        <w:t>10. Selon l'article 3 de la directive 2004/48/CE du 29 avril 2004 relative au respect des droits de propriété intellectuelle, les procédures nécessaires pour assurer le respect des droits de propriété intellectuelle mises en oeuvre par les Etats membres doivent être loyales et proportionnées. </w:t>
      </w:r>
    </w:p>
    <w:p w14:paraId="7BE23558" w14:textId="77777777" w:rsidR="00913FDC" w:rsidRDefault="00913FDC" w:rsidP="00913FDC">
      <w:pPr>
        <w:rPr>
          <w:rFonts w:ascii="Times New Roman" w:eastAsia="Times New Roman" w:hAnsi="Times New Roman" w:cs="Times New Roman"/>
          <w:color w:val="000000"/>
          <w:lang w:eastAsia="fr-FR"/>
        </w:rPr>
      </w:pPr>
    </w:p>
    <w:p w14:paraId="29F1C4E0" w14:textId="77777777" w:rsidR="00913FDC" w:rsidRPr="00913FDC" w:rsidRDefault="00913FDC" w:rsidP="00913FDC">
      <w:pPr>
        <w:rPr>
          <w:rFonts w:ascii="Times New Roman" w:eastAsia="Times New Roman" w:hAnsi="Times New Roman" w:cs="Times New Roman"/>
          <w:color w:val="000000"/>
          <w:lang w:eastAsia="fr-FR"/>
        </w:rPr>
      </w:pPr>
      <w:r w:rsidRPr="00913FDC">
        <w:rPr>
          <w:rFonts w:ascii="Times New Roman" w:eastAsia="Times New Roman" w:hAnsi="Times New Roman" w:cs="Times New Roman"/>
          <w:color w:val="000000"/>
          <w:lang w:eastAsia="fr-FR"/>
        </w:rPr>
        <w:t>11. En application de l'article 10 du code civil, les parties ont l'obligation, en vertu du principe de loyauté des débats, de produire et le cas échéant communiquer en temps utiles les éléments en leur possession, en particulier lorsqu'ils sont susceptibles de modifier l'opinion des juges (1re Civ., 7 juin 2005, pourvoi n° 05-60.044, Bull. 2005, I, n° 241). </w:t>
      </w:r>
    </w:p>
    <w:p w14:paraId="42F7BD52" w14:textId="77777777" w:rsidR="00913FDC" w:rsidRDefault="00913FDC" w:rsidP="00913FDC">
      <w:pPr>
        <w:rPr>
          <w:rFonts w:ascii="Times New Roman" w:eastAsia="Times New Roman" w:hAnsi="Times New Roman" w:cs="Times New Roman"/>
          <w:color w:val="000000"/>
          <w:lang w:eastAsia="fr-FR"/>
        </w:rPr>
      </w:pPr>
    </w:p>
    <w:p w14:paraId="3B1A8FDB" w14:textId="6961EA1F" w:rsidR="00913FDC" w:rsidRPr="00913FDC" w:rsidRDefault="00913FDC" w:rsidP="00913FDC">
      <w:pPr>
        <w:rPr>
          <w:rFonts w:ascii="Times New Roman" w:eastAsia="Times New Roman" w:hAnsi="Times New Roman" w:cs="Times New Roman"/>
          <w:color w:val="000000"/>
          <w:lang w:eastAsia="fr-FR"/>
        </w:rPr>
      </w:pPr>
      <w:r w:rsidRPr="00913FDC">
        <w:rPr>
          <w:rFonts w:ascii="Times New Roman" w:eastAsia="Times New Roman" w:hAnsi="Times New Roman" w:cs="Times New Roman"/>
          <w:color w:val="000000"/>
          <w:lang w:eastAsia="fr-FR"/>
        </w:rPr>
        <w:t>12. Il en résulte que les dispositions précitées du code de la propriété intellectuelle, lues à la lumière de la directive, exigent du requérant qu'il fasse preuve de loyauté dans l'exposé des faits au soutien de sa requête en saisie</w:t>
      </w:r>
      <w:r>
        <w:rPr>
          <w:rFonts w:ascii="Times New Roman" w:eastAsia="Times New Roman" w:hAnsi="Times New Roman" w:cs="Times New Roman"/>
          <w:color w:val="000000"/>
          <w:lang w:eastAsia="fr-FR"/>
        </w:rPr>
        <w:t>-</w:t>
      </w:r>
      <w:r w:rsidRPr="00913FDC">
        <w:rPr>
          <w:rFonts w:ascii="Times New Roman" w:hAnsi="Times New Roman" w:cs="Times New Roman"/>
        </w:rPr>
        <w:t xml:space="preserve">contrefaçon, </w:t>
      </w:r>
      <w:r w:rsidRPr="00913FDC">
        <w:rPr>
          <w:rFonts w:ascii="Times New Roman" w:eastAsia="Times New Roman" w:hAnsi="Times New Roman" w:cs="Times New Roman"/>
          <w:color w:val="000000"/>
          <w:lang w:eastAsia="fr-FR"/>
        </w:rPr>
        <w:t>afin de permettre au juge d'autoriser une mesure proportionnée.</w:t>
      </w:r>
    </w:p>
    <w:p w14:paraId="3526D206" w14:textId="77777777" w:rsidR="00913FDC" w:rsidRDefault="00913FDC" w:rsidP="00913FDC">
      <w:pPr>
        <w:rPr>
          <w:rFonts w:ascii="Times New Roman" w:eastAsia="Times New Roman" w:hAnsi="Times New Roman" w:cs="Times New Roman"/>
          <w:color w:val="000000"/>
          <w:lang w:eastAsia="fr-FR"/>
        </w:rPr>
      </w:pPr>
    </w:p>
    <w:p w14:paraId="050D8D2B" w14:textId="2B5956B9" w:rsidR="00913FDC" w:rsidRPr="00913FDC" w:rsidRDefault="00913FDC" w:rsidP="00913FDC">
      <w:pPr>
        <w:rPr>
          <w:rFonts w:ascii="Times New Roman" w:eastAsia="Times New Roman" w:hAnsi="Times New Roman" w:cs="Times New Roman"/>
          <w:color w:val="000000"/>
          <w:lang w:eastAsia="fr-FR"/>
        </w:rPr>
      </w:pPr>
      <w:r w:rsidRPr="00913FDC">
        <w:rPr>
          <w:rFonts w:ascii="Times New Roman" w:eastAsia="Times New Roman" w:hAnsi="Times New Roman" w:cs="Times New Roman"/>
          <w:color w:val="000000"/>
          <w:lang w:eastAsia="fr-FR"/>
        </w:rPr>
        <w:t>13. L'arrêt relève que les sociétés Puma se sont abstenues, lors de la présentation de leur requête en saisie</w:t>
      </w:r>
      <w:r w:rsidRPr="00913FDC">
        <w:rPr>
          <w:rFonts w:ascii="Times New Roman" w:hAnsi="Times New Roman" w:cs="Times New Roman"/>
        </w:rPr>
        <w:t>-contrefaçon,</w:t>
      </w:r>
      <w:r w:rsidRPr="00913FDC">
        <w:rPr>
          <w:rFonts w:ascii="Times New Roman" w:eastAsia="Times New Roman" w:hAnsi="Times New Roman" w:cs="Times New Roman"/>
          <w:color w:val="000000"/>
          <w:lang w:eastAsia="fr-FR"/>
        </w:rPr>
        <w:t xml:space="preserve"> de faire connaître, d'une part, que la société Carrefour était titulaire de marques françaises et de l'Union européenne portant sur le signe figuratif incriminé, d'autre part, qu'elles-mêmes s'étaient opposées à l'enregistrement de ces marques auprès, respectivement, de l'Institut national de la propriété industrielle et de l'Office de l'Union Européenne pour la propriété intellectuelle, sur la base de leurs marques antérieures, invoquées dans le litige mais que ces instances administratives avaient exclu toute imitation des marques de la société Puma et donc tout risque de confusion, antérieurement à la présentation de la requête en saisie</w:t>
      </w:r>
      <w:r w:rsidRPr="00913FDC">
        <w:rPr>
          <w:rFonts w:ascii="Times New Roman" w:hAnsi="Times New Roman" w:cs="Times New Roman"/>
        </w:rPr>
        <w:t>-contrefaçon.</w:t>
      </w:r>
    </w:p>
    <w:p w14:paraId="2D5404DA" w14:textId="77777777" w:rsidR="00913FDC" w:rsidRDefault="00913FDC" w:rsidP="00913FDC">
      <w:pPr>
        <w:rPr>
          <w:rFonts w:ascii="Times New Roman" w:eastAsia="Times New Roman" w:hAnsi="Times New Roman" w:cs="Times New Roman"/>
          <w:color w:val="000000"/>
          <w:lang w:eastAsia="fr-FR"/>
        </w:rPr>
      </w:pPr>
    </w:p>
    <w:p w14:paraId="73ED5E78" w14:textId="707F8925" w:rsidR="00913FDC" w:rsidRPr="00913FDC" w:rsidRDefault="00913FDC" w:rsidP="00913FDC">
      <w:pPr>
        <w:rPr>
          <w:rFonts w:ascii="Times New Roman" w:eastAsia="Times New Roman" w:hAnsi="Times New Roman" w:cs="Times New Roman"/>
          <w:color w:val="000000"/>
          <w:lang w:eastAsia="fr-FR"/>
        </w:rPr>
      </w:pPr>
      <w:r w:rsidRPr="00913FDC">
        <w:rPr>
          <w:rFonts w:ascii="Times New Roman" w:eastAsia="Times New Roman" w:hAnsi="Times New Roman" w:cs="Times New Roman"/>
          <w:color w:val="000000"/>
          <w:lang w:eastAsia="fr-FR"/>
        </w:rPr>
        <w:t>14. Il ajoute que si la décision rendue par l'instance administrative, statuant en matière d'opposition à l'enregistrement d'une marque, ne lie pas le juge saisi d'une demande en </w:t>
      </w:r>
      <w:r w:rsidRPr="00913FDC">
        <w:rPr>
          <w:rFonts w:ascii="Times New Roman" w:hAnsi="Times New Roman" w:cs="Times New Roman"/>
        </w:rPr>
        <w:t>contrefaçon,</w:t>
      </w:r>
      <w:r w:rsidRPr="00913FDC">
        <w:rPr>
          <w:rFonts w:ascii="Times New Roman" w:eastAsia="Times New Roman" w:hAnsi="Times New Roman" w:cs="Times New Roman"/>
          <w:color w:val="000000"/>
          <w:lang w:eastAsia="fr-FR"/>
        </w:rPr>
        <w:t xml:space="preserve"> les éléments de preuve destinés à être produits dans une procédure judiciaire doivent néanmoins être recueillis dans des conditions exemptes de déloyauté. </w:t>
      </w:r>
    </w:p>
    <w:p w14:paraId="0B4ADC6A" w14:textId="77777777" w:rsidR="00913FDC" w:rsidRDefault="00913FDC" w:rsidP="00913FDC">
      <w:pPr>
        <w:rPr>
          <w:rFonts w:ascii="Times New Roman" w:eastAsia="Times New Roman" w:hAnsi="Times New Roman" w:cs="Times New Roman"/>
          <w:color w:val="000000"/>
          <w:lang w:eastAsia="fr-FR"/>
        </w:rPr>
      </w:pPr>
    </w:p>
    <w:p w14:paraId="744E161B" w14:textId="1AE6B93D" w:rsidR="00913FDC" w:rsidRPr="00913FDC" w:rsidRDefault="00913FDC" w:rsidP="00913FDC">
      <w:pPr>
        <w:rPr>
          <w:rFonts w:ascii="Times New Roman" w:eastAsia="Times New Roman" w:hAnsi="Times New Roman" w:cs="Times New Roman"/>
          <w:color w:val="000000"/>
          <w:lang w:eastAsia="fr-FR"/>
        </w:rPr>
      </w:pPr>
      <w:r w:rsidRPr="00913FDC">
        <w:rPr>
          <w:rFonts w:ascii="Times New Roman" w:eastAsia="Times New Roman" w:hAnsi="Times New Roman" w:cs="Times New Roman"/>
          <w:color w:val="000000"/>
          <w:lang w:eastAsia="fr-FR"/>
        </w:rPr>
        <w:t>15. Il en déduit que la partie qui sollicite l'autorisation de faire pratiquer une saisie</w:t>
      </w:r>
      <w:r w:rsidRPr="00913FDC">
        <w:rPr>
          <w:rFonts w:ascii="Times New Roman" w:hAnsi="Times New Roman" w:cs="Times New Roman"/>
        </w:rPr>
        <w:t>-contrefaçon </w:t>
      </w:r>
      <w:r w:rsidRPr="00913FDC">
        <w:rPr>
          <w:rFonts w:ascii="Times New Roman" w:eastAsia="Times New Roman" w:hAnsi="Times New Roman" w:cs="Times New Roman"/>
          <w:color w:val="000000"/>
          <w:lang w:eastAsia="fr-FR"/>
        </w:rPr>
        <w:t>doit présenter, au soutien de sa requête, l'ensemble des faits objectifs de nature à permettre au juge d'appréhender complètement les enjeux du procès en vue duquel lui était demandée cette autorisation et ainsi d'exercer pleinement son pouvoir d'appréciation des circonstances de la cause. </w:t>
      </w:r>
    </w:p>
    <w:p w14:paraId="51F69158" w14:textId="77777777" w:rsidR="00913FDC" w:rsidRDefault="00913FDC" w:rsidP="00913FDC">
      <w:pPr>
        <w:rPr>
          <w:rFonts w:ascii="Times New Roman" w:eastAsia="Times New Roman" w:hAnsi="Times New Roman" w:cs="Times New Roman"/>
          <w:color w:val="000000"/>
          <w:lang w:eastAsia="fr-FR"/>
        </w:rPr>
      </w:pPr>
    </w:p>
    <w:p w14:paraId="72B2F507" w14:textId="313B4707" w:rsidR="00913FDC" w:rsidRPr="00913FDC" w:rsidRDefault="00913FDC" w:rsidP="00913FDC">
      <w:pPr>
        <w:rPr>
          <w:rFonts w:ascii="Times New Roman" w:eastAsia="Times New Roman" w:hAnsi="Times New Roman" w:cs="Times New Roman"/>
          <w:color w:val="000000"/>
          <w:lang w:eastAsia="fr-FR"/>
        </w:rPr>
      </w:pPr>
      <w:r w:rsidRPr="00913FDC">
        <w:rPr>
          <w:rFonts w:ascii="Times New Roman" w:eastAsia="Times New Roman" w:hAnsi="Times New Roman" w:cs="Times New Roman"/>
          <w:color w:val="000000"/>
          <w:lang w:eastAsia="fr-FR"/>
        </w:rPr>
        <w:t>16. En cet état, la cour d'appel a exactement retenu que, les sociétés Puma ayant manqué à leur devoir de loyauté à l'occasion de la présentation de la requête, les procès-verbaux de saisie-</w:t>
      </w:r>
      <w:r w:rsidRPr="00913FDC">
        <w:rPr>
          <w:rFonts w:ascii="Times New Roman" w:hAnsi="Times New Roman" w:cs="Times New Roman"/>
        </w:rPr>
        <w:t>contrefaçon </w:t>
      </w:r>
      <w:r w:rsidRPr="00913FDC">
        <w:rPr>
          <w:rFonts w:ascii="Times New Roman" w:eastAsia="Times New Roman" w:hAnsi="Times New Roman" w:cs="Times New Roman"/>
          <w:color w:val="000000"/>
          <w:lang w:eastAsia="fr-FR"/>
        </w:rPr>
        <w:t>devaient être annulés. </w:t>
      </w:r>
    </w:p>
    <w:p w14:paraId="7B32B7B4" w14:textId="77777777" w:rsidR="00913FDC" w:rsidRDefault="00913FDC" w:rsidP="00913FDC">
      <w:pPr>
        <w:rPr>
          <w:rFonts w:ascii="Times New Roman" w:eastAsia="Times New Roman" w:hAnsi="Times New Roman" w:cs="Times New Roman"/>
          <w:color w:val="000000"/>
          <w:lang w:eastAsia="fr-FR"/>
        </w:rPr>
      </w:pPr>
    </w:p>
    <w:p w14:paraId="566F0B0C" w14:textId="77777777" w:rsidR="00913FDC" w:rsidRPr="00913FDC" w:rsidRDefault="00913FDC" w:rsidP="00913FDC">
      <w:pPr>
        <w:rPr>
          <w:rFonts w:ascii="Times New Roman" w:eastAsia="Times New Roman" w:hAnsi="Times New Roman" w:cs="Times New Roman"/>
          <w:color w:val="000000"/>
          <w:lang w:eastAsia="fr-FR"/>
        </w:rPr>
      </w:pPr>
      <w:r w:rsidRPr="00913FDC">
        <w:rPr>
          <w:rFonts w:ascii="Times New Roman" w:eastAsia="Times New Roman" w:hAnsi="Times New Roman" w:cs="Times New Roman"/>
          <w:color w:val="000000"/>
          <w:lang w:eastAsia="fr-FR"/>
        </w:rPr>
        <w:t>17. Le moyen n'est donc pas fondé.</w:t>
      </w:r>
    </w:p>
    <w:p w14:paraId="63BE7351" w14:textId="77777777" w:rsidR="00913FDC" w:rsidRDefault="00913FDC" w:rsidP="00913FDC">
      <w:pPr>
        <w:rPr>
          <w:rFonts w:ascii="Times New Roman" w:eastAsia="Times New Roman" w:hAnsi="Times New Roman" w:cs="Times New Roman"/>
          <w:color w:val="000000"/>
          <w:lang w:eastAsia="fr-FR"/>
        </w:rPr>
      </w:pPr>
    </w:p>
    <w:p w14:paraId="7D07AEC9" w14:textId="77777777" w:rsidR="00913FDC" w:rsidRPr="00913FDC" w:rsidRDefault="00913FDC" w:rsidP="00913FDC">
      <w:pPr>
        <w:rPr>
          <w:rFonts w:ascii="Times New Roman" w:eastAsia="Times New Roman" w:hAnsi="Times New Roman" w:cs="Times New Roman"/>
          <w:color w:val="000000"/>
          <w:lang w:eastAsia="fr-FR"/>
        </w:rPr>
      </w:pPr>
      <w:r w:rsidRPr="00913FDC">
        <w:rPr>
          <w:rFonts w:ascii="Times New Roman" w:eastAsia="Times New Roman" w:hAnsi="Times New Roman" w:cs="Times New Roman"/>
          <w:color w:val="000000"/>
          <w:lang w:eastAsia="fr-FR"/>
        </w:rPr>
        <w:t>PAR CES MOTIFS, la Cour :</w:t>
      </w:r>
    </w:p>
    <w:p w14:paraId="1C5ADF3E" w14:textId="77777777" w:rsidR="00913FDC" w:rsidRDefault="00913FDC" w:rsidP="00913FDC">
      <w:pPr>
        <w:rPr>
          <w:rFonts w:ascii="Times New Roman" w:eastAsia="Times New Roman" w:hAnsi="Times New Roman" w:cs="Times New Roman"/>
          <w:color w:val="000000"/>
          <w:lang w:eastAsia="fr-FR"/>
        </w:rPr>
      </w:pPr>
    </w:p>
    <w:p w14:paraId="2AC956A6" w14:textId="77777777" w:rsidR="00913FDC" w:rsidRPr="00913FDC" w:rsidRDefault="00913FDC" w:rsidP="00913FDC">
      <w:pPr>
        <w:rPr>
          <w:rFonts w:ascii="Times New Roman" w:eastAsia="Times New Roman" w:hAnsi="Times New Roman" w:cs="Times New Roman"/>
          <w:color w:val="000000"/>
          <w:lang w:eastAsia="fr-FR"/>
        </w:rPr>
      </w:pPr>
      <w:r w:rsidRPr="00913FDC">
        <w:rPr>
          <w:rFonts w:ascii="Times New Roman" w:eastAsia="Times New Roman" w:hAnsi="Times New Roman" w:cs="Times New Roman"/>
          <w:color w:val="000000"/>
          <w:lang w:eastAsia="fr-FR"/>
        </w:rPr>
        <w:t>REJETTE le pourvoi ;</w:t>
      </w:r>
    </w:p>
    <w:p w14:paraId="376E7A61" w14:textId="77777777" w:rsidR="00194EA4" w:rsidRDefault="00194EA4" w:rsidP="00913FDC">
      <w:pPr>
        <w:rPr>
          <w:rFonts w:ascii="Times New Roman" w:hAnsi="Times New Roman" w:cs="Times New Roman"/>
        </w:rPr>
      </w:pPr>
    </w:p>
    <w:p w14:paraId="4A20AE03" w14:textId="767A3022" w:rsidR="00913FDC" w:rsidRDefault="00913FDC" w:rsidP="00913FDC">
      <w:pPr>
        <w:rPr>
          <w:rFonts w:ascii="Times New Roman" w:hAnsi="Times New Roman" w:cs="Times New Roman"/>
        </w:rPr>
      </w:pPr>
      <w:r>
        <w:rPr>
          <w:rFonts w:ascii="Times New Roman" w:hAnsi="Times New Roman" w:cs="Times New Roman"/>
        </w:rPr>
        <w:t>{…}</w:t>
      </w:r>
    </w:p>
    <w:p w14:paraId="42E7EDA7" w14:textId="77777777" w:rsidR="001E4E4F" w:rsidRDefault="001E4E4F" w:rsidP="00913FDC">
      <w:pPr>
        <w:rPr>
          <w:rFonts w:ascii="Times New Roman" w:hAnsi="Times New Roman" w:cs="Times New Roman"/>
        </w:rPr>
      </w:pPr>
    </w:p>
    <w:p w14:paraId="5694F709" w14:textId="77777777" w:rsidR="001E4E4F" w:rsidRDefault="001E4E4F" w:rsidP="00913FDC">
      <w:pPr>
        <w:rPr>
          <w:rFonts w:ascii="Times New Roman" w:hAnsi="Times New Roman" w:cs="Times New Roman"/>
        </w:rPr>
      </w:pPr>
    </w:p>
    <w:p w14:paraId="2BD5E62B" w14:textId="77777777" w:rsidR="001E4E4F" w:rsidRDefault="001E4E4F" w:rsidP="00913FDC">
      <w:pPr>
        <w:rPr>
          <w:rFonts w:ascii="Times New Roman" w:hAnsi="Times New Roman" w:cs="Times New Roman"/>
        </w:rPr>
      </w:pPr>
    </w:p>
    <w:p w14:paraId="3B535473" w14:textId="77777777" w:rsidR="001E4E4F" w:rsidRPr="00511A87" w:rsidRDefault="001E4E4F" w:rsidP="001E4E4F">
      <w:pPr>
        <w:rPr>
          <w:rFonts w:ascii="Times New Roman" w:hAnsi="Times New Roman" w:cs="Times New Roman"/>
          <w:i/>
          <w:sz w:val="22"/>
          <w:szCs w:val="22"/>
          <w:u w:val="single"/>
        </w:rPr>
      </w:pPr>
      <w:r w:rsidRPr="00511A87">
        <w:rPr>
          <w:rFonts w:ascii="Times New Roman" w:hAnsi="Times New Roman" w:cs="Times New Roman"/>
          <w:sz w:val="22"/>
          <w:szCs w:val="22"/>
        </w:rPr>
        <w:t>Joachim WATHELET disait dans son ouvrage « La loyauté en propriété intellectuelle » que le devoir de loyauté est un cadre pour le droit de la propriété intellectuelle. Il en module l’exercice pour que celui-ci se déploie de la manière la plus juste et adéquate. J. WATHELET explique que cette application raisonnable et équilibré dictée par le devoir de loyauté est un gage de légitimité pour notre droit de la propriété intellectuelle. Cet arrêt du 6 décembre 2023 de la Cour de cassation poursuit la même doctrine sous l’influence du droit Européen.</w:t>
      </w:r>
    </w:p>
    <w:p w14:paraId="47EBC78D" w14:textId="77777777" w:rsidR="001E4E4F" w:rsidRPr="00913FDC" w:rsidRDefault="001E4E4F" w:rsidP="00913FDC">
      <w:pPr>
        <w:rPr>
          <w:rFonts w:ascii="Times New Roman" w:hAnsi="Times New Roman" w:cs="Times New Roman"/>
        </w:rPr>
      </w:pPr>
    </w:p>
    <w:sectPr w:rsidR="001E4E4F" w:rsidRPr="00913FDC" w:rsidSect="00913FDC">
      <w:type w:val="continuous"/>
      <w:pgSz w:w="11900" w:h="16840"/>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92E03" w14:textId="77777777" w:rsidR="005E744E" w:rsidRDefault="005E744E" w:rsidP="00FD31BE">
      <w:r>
        <w:separator/>
      </w:r>
    </w:p>
  </w:endnote>
  <w:endnote w:type="continuationSeparator" w:id="0">
    <w:p w14:paraId="3CB6AC31" w14:textId="77777777" w:rsidR="005E744E" w:rsidRDefault="005E744E" w:rsidP="00FD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1C23" w14:textId="77777777" w:rsidR="009E2005" w:rsidRDefault="009E200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EEE6D" w14:textId="52A4EE01" w:rsidR="00FD31BE" w:rsidRDefault="00FD31BE" w:rsidP="00FD31BE">
    <w:pPr>
      <w:spacing w:line="365" w:lineRule="auto"/>
      <w:ind w:left="3962" w:right="3897" w:firstLine="575"/>
    </w:pPr>
    <w:r>
      <w:rPr>
        <w:rFonts w:ascii="Times New Roman" w:eastAsia="Times New Roman" w:hAnsi="Times New Roman" w:cs="Times New Roman"/>
      </w:rPr>
      <w:t xml:space="preserve"> </w:t>
    </w:r>
    <w:r>
      <w:rPr>
        <w:color w:val="262626"/>
        <w:sz w:val="26"/>
      </w:rPr>
      <w:t xml:space="preserve"> </w:t>
    </w:r>
  </w:p>
  <w:p w14:paraId="7D29D853" w14:textId="1C4B7801" w:rsidR="00FD31BE" w:rsidRDefault="009E2005" w:rsidP="00FD31BE">
    <w:pPr>
      <w:spacing w:line="238" w:lineRule="auto"/>
      <w:jc w:val="center"/>
      <w:rPr>
        <w:color w:val="262626"/>
        <w:sz w:val="16"/>
      </w:rPr>
    </w:pPr>
    <w:r>
      <w:rPr>
        <w:noProof/>
        <w:lang w:eastAsia="fr-FR"/>
      </w:rPr>
      <w:drawing>
        <wp:anchor distT="0" distB="0" distL="114300" distR="114300" simplePos="0" relativeHeight="251659264" behindDoc="0" locked="0" layoutInCell="1" allowOverlap="0" wp14:anchorId="3FD8FF76" wp14:editId="4EBEAD14">
          <wp:simplePos x="0" y="0"/>
          <wp:positionH relativeFrom="page">
            <wp:posOffset>3415030</wp:posOffset>
          </wp:positionH>
          <wp:positionV relativeFrom="page">
            <wp:posOffset>9148445</wp:posOffset>
          </wp:positionV>
          <wp:extent cx="728980" cy="254635"/>
          <wp:effectExtent l="0" t="0" r="7620" b="0"/>
          <wp:wrapSquare wrapText="bothSides"/>
          <wp:docPr id="198408211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728980" cy="254635"/>
                  </a:xfrm>
                  <a:prstGeom prst="rect">
                    <a:avLst/>
                  </a:prstGeom>
                </pic:spPr>
              </pic:pic>
            </a:graphicData>
          </a:graphic>
        </wp:anchor>
      </w:drawing>
    </w:r>
  </w:p>
  <w:p w14:paraId="495CE056" w14:textId="77777777" w:rsidR="00FD31BE" w:rsidRDefault="00FD31BE" w:rsidP="00FD31BE">
    <w:pPr>
      <w:spacing w:line="238" w:lineRule="auto"/>
      <w:jc w:val="center"/>
      <w:rPr>
        <w:color w:val="262626"/>
        <w:sz w:val="16"/>
      </w:rPr>
    </w:pPr>
  </w:p>
  <w:p w14:paraId="0B172A92" w14:textId="77777777" w:rsidR="00FD31BE" w:rsidRDefault="00FD31BE" w:rsidP="00FD31BE">
    <w:pPr>
      <w:spacing w:line="238" w:lineRule="auto"/>
      <w:jc w:val="center"/>
      <w:rPr>
        <w:color w:val="262626"/>
        <w:sz w:val="16"/>
      </w:rPr>
    </w:pPr>
  </w:p>
  <w:p w14:paraId="754DAC54" w14:textId="2275CA30" w:rsidR="00FD31BE" w:rsidRDefault="00FD31BE" w:rsidP="00FD31BE">
    <w:pPr>
      <w:spacing w:line="238" w:lineRule="auto"/>
      <w:jc w:val="center"/>
    </w:pPr>
    <w:r>
      <w:rPr>
        <w:color w:val="262626"/>
        <w:sz w:val="16"/>
      </w:rPr>
      <w:t xml:space="preserve">Cette création par </w:t>
    </w:r>
    <w:r>
      <w:rPr>
        <w:color w:val="1F3576"/>
        <w:sz w:val="16"/>
      </w:rPr>
      <w:t>LID2MS-IREDIC</w:t>
    </w:r>
    <w:r>
      <w:rPr>
        <w:color w:val="262626"/>
        <w:sz w:val="16"/>
      </w:rPr>
      <w:t xml:space="preserve"> est mise à disposition selon les termes de la </w:t>
    </w:r>
    <w:r>
      <w:rPr>
        <w:color w:val="1F3576"/>
        <w:sz w:val="16"/>
      </w:rPr>
      <w:t>licence Creative Commons Paternité - Pas d'Utilisation Commerciale - Pas de Modification 2.0 France</w:t>
    </w:r>
    <w:r>
      <w:rPr>
        <w:color w:val="262626"/>
        <w:sz w:val="16"/>
      </w:rPr>
      <w:t>.</w:t>
    </w:r>
    <w:r>
      <w:rPr>
        <w:rFonts w:ascii="Times New Roman" w:eastAsia="Times New Roman" w:hAnsi="Times New Roman" w:cs="Times New Roman"/>
        <w:sz w:val="16"/>
      </w:rPr>
      <w:t xml:space="preserve"> </w:t>
    </w:r>
  </w:p>
  <w:p w14:paraId="3D340FE2" w14:textId="77777777" w:rsidR="00FD31BE" w:rsidRDefault="00FD31BE">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A58D6" w14:textId="77777777" w:rsidR="009E2005" w:rsidRDefault="009E200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10BDE" w14:textId="77777777" w:rsidR="005E744E" w:rsidRDefault="005E744E" w:rsidP="00FD31BE">
      <w:r>
        <w:separator/>
      </w:r>
    </w:p>
  </w:footnote>
  <w:footnote w:type="continuationSeparator" w:id="0">
    <w:p w14:paraId="51A41912" w14:textId="77777777" w:rsidR="005E744E" w:rsidRDefault="005E744E" w:rsidP="00FD31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CDC1C" w14:textId="77777777" w:rsidR="009E2005" w:rsidRDefault="009E2005">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E63E5" w14:textId="77777777" w:rsidR="009E2005" w:rsidRDefault="009E2005">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E0551" w14:textId="77777777" w:rsidR="009E2005" w:rsidRDefault="009E200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7C"/>
    <w:rsid w:val="00021BE2"/>
    <w:rsid w:val="0002525F"/>
    <w:rsid w:val="0004123A"/>
    <w:rsid w:val="00041A05"/>
    <w:rsid w:val="00043A75"/>
    <w:rsid w:val="000648C1"/>
    <w:rsid w:val="000D4CB0"/>
    <w:rsid w:val="000D6053"/>
    <w:rsid w:val="0016285E"/>
    <w:rsid w:val="00180D32"/>
    <w:rsid w:val="00186E91"/>
    <w:rsid w:val="00191491"/>
    <w:rsid w:val="00194EA4"/>
    <w:rsid w:val="001D43FE"/>
    <w:rsid w:val="001E4E4F"/>
    <w:rsid w:val="00210571"/>
    <w:rsid w:val="00221E56"/>
    <w:rsid w:val="00291B7C"/>
    <w:rsid w:val="002E3D06"/>
    <w:rsid w:val="003646E0"/>
    <w:rsid w:val="003B06FF"/>
    <w:rsid w:val="003F0AF9"/>
    <w:rsid w:val="00443528"/>
    <w:rsid w:val="00451840"/>
    <w:rsid w:val="0046152A"/>
    <w:rsid w:val="004E6547"/>
    <w:rsid w:val="004F13C2"/>
    <w:rsid w:val="00511A87"/>
    <w:rsid w:val="005124EE"/>
    <w:rsid w:val="00520C17"/>
    <w:rsid w:val="00534A62"/>
    <w:rsid w:val="005B575F"/>
    <w:rsid w:val="005D5611"/>
    <w:rsid w:val="005E744E"/>
    <w:rsid w:val="00613A81"/>
    <w:rsid w:val="0062350C"/>
    <w:rsid w:val="00682AA9"/>
    <w:rsid w:val="006A7014"/>
    <w:rsid w:val="006B6778"/>
    <w:rsid w:val="00752781"/>
    <w:rsid w:val="00756BC8"/>
    <w:rsid w:val="00765F77"/>
    <w:rsid w:val="00777AFD"/>
    <w:rsid w:val="007952E3"/>
    <w:rsid w:val="007A3C7A"/>
    <w:rsid w:val="007A6592"/>
    <w:rsid w:val="007F3F10"/>
    <w:rsid w:val="00803D75"/>
    <w:rsid w:val="00837FBC"/>
    <w:rsid w:val="00883D3E"/>
    <w:rsid w:val="008F09E1"/>
    <w:rsid w:val="00913FDC"/>
    <w:rsid w:val="00916793"/>
    <w:rsid w:val="00934EFE"/>
    <w:rsid w:val="009B1005"/>
    <w:rsid w:val="009B2F04"/>
    <w:rsid w:val="009C007D"/>
    <w:rsid w:val="009E2005"/>
    <w:rsid w:val="009E7663"/>
    <w:rsid w:val="00A07BFC"/>
    <w:rsid w:val="00A267C4"/>
    <w:rsid w:val="00A406AC"/>
    <w:rsid w:val="00A52369"/>
    <w:rsid w:val="00A64F9E"/>
    <w:rsid w:val="00AC1C4E"/>
    <w:rsid w:val="00AD39E3"/>
    <w:rsid w:val="00AD3E6E"/>
    <w:rsid w:val="00B47A5F"/>
    <w:rsid w:val="00B54701"/>
    <w:rsid w:val="00B559A8"/>
    <w:rsid w:val="00BA69D8"/>
    <w:rsid w:val="00BD7502"/>
    <w:rsid w:val="00BF0C28"/>
    <w:rsid w:val="00C14EB7"/>
    <w:rsid w:val="00C36F99"/>
    <w:rsid w:val="00E31B8B"/>
    <w:rsid w:val="00E62974"/>
    <w:rsid w:val="00E64427"/>
    <w:rsid w:val="00E85762"/>
    <w:rsid w:val="00EA0EAB"/>
    <w:rsid w:val="00EA4228"/>
    <w:rsid w:val="00EC4B3C"/>
    <w:rsid w:val="00EC6140"/>
    <w:rsid w:val="00EF09C6"/>
    <w:rsid w:val="00EF0A63"/>
    <w:rsid w:val="00F15018"/>
    <w:rsid w:val="00F1553C"/>
    <w:rsid w:val="00F22FB9"/>
    <w:rsid w:val="00F602D5"/>
    <w:rsid w:val="00F65539"/>
    <w:rsid w:val="00F91F50"/>
    <w:rsid w:val="00FD31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CF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31BE"/>
    <w:pPr>
      <w:tabs>
        <w:tab w:val="center" w:pos="4536"/>
        <w:tab w:val="right" w:pos="9072"/>
      </w:tabs>
    </w:pPr>
  </w:style>
  <w:style w:type="character" w:customStyle="1" w:styleId="En-tteCar">
    <w:name w:val="En-tête Car"/>
    <w:basedOn w:val="Policepardfaut"/>
    <w:link w:val="En-tte"/>
    <w:uiPriority w:val="99"/>
    <w:rsid w:val="00FD31BE"/>
  </w:style>
  <w:style w:type="paragraph" w:styleId="Pieddepage">
    <w:name w:val="footer"/>
    <w:basedOn w:val="Normal"/>
    <w:link w:val="PieddepageCar"/>
    <w:uiPriority w:val="99"/>
    <w:unhideWhenUsed/>
    <w:rsid w:val="00FD31BE"/>
    <w:pPr>
      <w:tabs>
        <w:tab w:val="center" w:pos="4536"/>
        <w:tab w:val="right" w:pos="9072"/>
      </w:tabs>
    </w:pPr>
  </w:style>
  <w:style w:type="character" w:customStyle="1" w:styleId="PieddepageCar">
    <w:name w:val="Pied de page Car"/>
    <w:basedOn w:val="Policepardfaut"/>
    <w:link w:val="Pieddepage"/>
    <w:uiPriority w:val="99"/>
    <w:rsid w:val="00FD31BE"/>
  </w:style>
  <w:style w:type="character" w:customStyle="1" w:styleId="apple-converted-space">
    <w:name w:val="apple-converted-space"/>
    <w:basedOn w:val="Policepardfaut"/>
    <w:rsid w:val="00913FDC"/>
  </w:style>
  <w:style w:type="character" w:styleId="lev">
    <w:name w:val="Strong"/>
    <w:basedOn w:val="Policepardfaut"/>
    <w:uiPriority w:val="22"/>
    <w:qFormat/>
    <w:rsid w:val="00913FDC"/>
    <w:rPr>
      <w:b/>
      <w:bCs/>
    </w:rPr>
  </w:style>
  <w:style w:type="character" w:customStyle="1" w:styleId="hl">
    <w:name w:val="hl"/>
    <w:basedOn w:val="Policepardfaut"/>
    <w:rsid w:val="0091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9283">
      <w:bodyDiv w:val="1"/>
      <w:marLeft w:val="0"/>
      <w:marRight w:val="0"/>
      <w:marTop w:val="0"/>
      <w:marBottom w:val="0"/>
      <w:divBdr>
        <w:top w:val="none" w:sz="0" w:space="0" w:color="auto"/>
        <w:left w:val="none" w:sz="0" w:space="0" w:color="auto"/>
        <w:bottom w:val="none" w:sz="0" w:space="0" w:color="auto"/>
        <w:right w:val="none" w:sz="0" w:space="0" w:color="auto"/>
      </w:divBdr>
      <w:divsChild>
        <w:div w:id="1368794203">
          <w:marLeft w:val="0"/>
          <w:marRight w:val="0"/>
          <w:marTop w:val="450"/>
          <w:marBottom w:val="450"/>
          <w:divBdr>
            <w:top w:val="none" w:sz="0" w:space="0" w:color="auto"/>
            <w:left w:val="none" w:sz="0" w:space="0" w:color="auto"/>
            <w:bottom w:val="none" w:sz="0" w:space="0" w:color="auto"/>
            <w:right w:val="none" w:sz="0" w:space="0" w:color="auto"/>
          </w:divBdr>
        </w:div>
        <w:div w:id="1069310692">
          <w:marLeft w:val="0"/>
          <w:marRight w:val="0"/>
          <w:marTop w:val="450"/>
          <w:marBottom w:val="450"/>
          <w:divBdr>
            <w:top w:val="none" w:sz="0" w:space="0" w:color="auto"/>
            <w:left w:val="none" w:sz="0" w:space="0" w:color="auto"/>
            <w:bottom w:val="none" w:sz="0" w:space="0" w:color="auto"/>
            <w:right w:val="none" w:sz="0" w:space="0" w:color="auto"/>
          </w:divBdr>
        </w:div>
        <w:div w:id="1625228343">
          <w:marLeft w:val="0"/>
          <w:marRight w:val="0"/>
          <w:marTop w:val="450"/>
          <w:marBottom w:val="450"/>
          <w:divBdr>
            <w:top w:val="none" w:sz="0" w:space="0" w:color="auto"/>
            <w:left w:val="none" w:sz="0" w:space="0" w:color="auto"/>
            <w:bottom w:val="none" w:sz="0" w:space="0" w:color="auto"/>
            <w:right w:val="none" w:sz="0" w:space="0" w:color="auto"/>
          </w:divBdr>
        </w:div>
        <w:div w:id="956721227">
          <w:marLeft w:val="0"/>
          <w:marRight w:val="0"/>
          <w:marTop w:val="450"/>
          <w:marBottom w:val="450"/>
          <w:divBdr>
            <w:top w:val="none" w:sz="0" w:space="0" w:color="auto"/>
            <w:left w:val="none" w:sz="0" w:space="0" w:color="auto"/>
            <w:bottom w:val="none" w:sz="0" w:space="0" w:color="auto"/>
            <w:right w:val="none" w:sz="0" w:space="0" w:color="auto"/>
          </w:divBdr>
        </w:div>
        <w:div w:id="724261965">
          <w:marLeft w:val="0"/>
          <w:marRight w:val="0"/>
          <w:marTop w:val="450"/>
          <w:marBottom w:val="450"/>
          <w:divBdr>
            <w:top w:val="none" w:sz="0" w:space="0" w:color="auto"/>
            <w:left w:val="none" w:sz="0" w:space="0" w:color="auto"/>
            <w:bottom w:val="none" w:sz="0" w:space="0" w:color="auto"/>
            <w:right w:val="none" w:sz="0" w:space="0" w:color="auto"/>
          </w:divBdr>
        </w:div>
        <w:div w:id="353193000">
          <w:marLeft w:val="0"/>
          <w:marRight w:val="0"/>
          <w:marTop w:val="450"/>
          <w:marBottom w:val="450"/>
          <w:divBdr>
            <w:top w:val="none" w:sz="0" w:space="0" w:color="auto"/>
            <w:left w:val="none" w:sz="0" w:space="0" w:color="auto"/>
            <w:bottom w:val="none" w:sz="0" w:space="0" w:color="auto"/>
            <w:right w:val="none" w:sz="0" w:space="0" w:color="auto"/>
          </w:divBdr>
        </w:div>
        <w:div w:id="683173382">
          <w:marLeft w:val="0"/>
          <w:marRight w:val="0"/>
          <w:marTop w:val="450"/>
          <w:marBottom w:val="450"/>
          <w:divBdr>
            <w:top w:val="none" w:sz="0" w:space="0" w:color="auto"/>
            <w:left w:val="none" w:sz="0" w:space="0" w:color="auto"/>
            <w:bottom w:val="none" w:sz="0" w:space="0" w:color="auto"/>
            <w:right w:val="none" w:sz="0" w:space="0" w:color="auto"/>
          </w:divBdr>
        </w:div>
        <w:div w:id="754283990">
          <w:marLeft w:val="0"/>
          <w:marRight w:val="0"/>
          <w:marTop w:val="450"/>
          <w:marBottom w:val="450"/>
          <w:divBdr>
            <w:top w:val="none" w:sz="0" w:space="0" w:color="auto"/>
            <w:left w:val="none" w:sz="0" w:space="0" w:color="auto"/>
            <w:bottom w:val="none" w:sz="0" w:space="0" w:color="auto"/>
            <w:right w:val="none" w:sz="0" w:space="0" w:color="auto"/>
          </w:divBdr>
        </w:div>
        <w:div w:id="1008752234">
          <w:marLeft w:val="0"/>
          <w:marRight w:val="0"/>
          <w:marTop w:val="450"/>
          <w:marBottom w:val="450"/>
          <w:divBdr>
            <w:top w:val="none" w:sz="0" w:space="0" w:color="auto"/>
            <w:left w:val="none" w:sz="0" w:space="0" w:color="auto"/>
            <w:bottom w:val="none" w:sz="0" w:space="0" w:color="auto"/>
            <w:right w:val="none" w:sz="0" w:space="0" w:color="auto"/>
          </w:divBdr>
        </w:div>
        <w:div w:id="1291202361">
          <w:marLeft w:val="0"/>
          <w:marRight w:val="0"/>
          <w:marTop w:val="450"/>
          <w:marBottom w:val="450"/>
          <w:divBdr>
            <w:top w:val="none" w:sz="0" w:space="0" w:color="auto"/>
            <w:left w:val="none" w:sz="0" w:space="0" w:color="auto"/>
            <w:bottom w:val="none" w:sz="0" w:space="0" w:color="auto"/>
            <w:right w:val="none" w:sz="0" w:space="0" w:color="auto"/>
          </w:divBdr>
        </w:div>
        <w:div w:id="773791496">
          <w:marLeft w:val="0"/>
          <w:marRight w:val="0"/>
          <w:marTop w:val="450"/>
          <w:marBottom w:val="450"/>
          <w:divBdr>
            <w:top w:val="none" w:sz="0" w:space="0" w:color="auto"/>
            <w:left w:val="none" w:sz="0" w:space="0" w:color="auto"/>
            <w:bottom w:val="none" w:sz="0" w:space="0" w:color="auto"/>
            <w:right w:val="none" w:sz="0" w:space="0" w:color="auto"/>
          </w:divBdr>
        </w:div>
        <w:div w:id="310982413">
          <w:marLeft w:val="0"/>
          <w:marRight w:val="0"/>
          <w:marTop w:val="450"/>
          <w:marBottom w:val="45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5</Pages>
  <Words>2392</Words>
  <Characters>13158</Characters>
  <Application>Microsoft Macintosh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CATELAN laurent</dc:creator>
  <cp:keywords/>
  <dc:description/>
  <cp:lastModifiedBy>CATELAN laurent</cp:lastModifiedBy>
  <cp:revision>19</cp:revision>
  <dcterms:created xsi:type="dcterms:W3CDTF">2023-12-24T14:38:00Z</dcterms:created>
  <dcterms:modified xsi:type="dcterms:W3CDTF">2024-02-28T13:44:00Z</dcterms:modified>
</cp:coreProperties>
</file>