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DD7" w:rsidRDefault="00717DD7" w:rsidP="00CE5F45">
      <w:pPr>
        <w:shd w:val="clear" w:color="auto" w:fill="C9C9C9" w:themeFill="accent3" w:themeFillTint="99"/>
        <w:spacing w:line="276" w:lineRule="auto"/>
        <w:rPr>
          <w:rStyle w:val="Accentuation"/>
          <w:rFonts w:ascii="Times New Roman" w:hAnsi="Times New Roman" w:cs="Times New Roman"/>
          <w:b/>
          <w:bCs/>
          <w:color w:val="000000"/>
          <w:sz w:val="28"/>
          <w:szCs w:val="28"/>
        </w:rPr>
      </w:pPr>
    </w:p>
    <w:p w:rsidR="00717DD7" w:rsidRDefault="0037477C" w:rsidP="00CE5F45">
      <w:pPr>
        <w:shd w:val="clear" w:color="auto" w:fill="C9C9C9" w:themeFill="accent3" w:themeFillTint="99"/>
        <w:spacing w:line="276" w:lineRule="auto"/>
        <w:jc w:val="center"/>
        <w:rPr>
          <w:rStyle w:val="Accentuation"/>
          <w:rFonts w:ascii="Times New Roman" w:hAnsi="Times New Roman" w:cs="Times New Roman"/>
          <w:b/>
          <w:bCs/>
          <w:color w:val="000000"/>
          <w:sz w:val="28"/>
          <w:szCs w:val="28"/>
        </w:rPr>
      </w:pPr>
      <w:r w:rsidRPr="00B44367">
        <w:rPr>
          <w:rStyle w:val="Accentuation"/>
          <w:rFonts w:ascii="Times New Roman" w:hAnsi="Times New Roman" w:cs="Times New Roman"/>
          <w:b/>
          <w:bCs/>
          <w:color w:val="000000"/>
          <w:sz w:val="28"/>
          <w:szCs w:val="28"/>
        </w:rPr>
        <w:t>Cour d’appel de Paris, pôle 5 chambre 2, 23 mai 2025, n°23/17959</w:t>
      </w:r>
    </w:p>
    <w:p w:rsidR="00717DD7" w:rsidRPr="003D30EF" w:rsidRDefault="00717DD7" w:rsidP="00CE5F45">
      <w:pPr>
        <w:shd w:val="clear" w:color="auto" w:fill="C9C9C9" w:themeFill="accent3" w:themeFillTint="99"/>
        <w:spacing w:line="276" w:lineRule="auto"/>
        <w:rPr>
          <w:rStyle w:val="Accentuation"/>
          <w:rFonts w:ascii="Times New Roman" w:hAnsi="Times New Roman" w:cs="Times New Roman"/>
          <w:b/>
          <w:bCs/>
          <w:color w:val="000000"/>
          <w:sz w:val="28"/>
          <w:szCs w:val="28"/>
        </w:rPr>
      </w:pPr>
    </w:p>
    <w:p w:rsidR="00661FF4" w:rsidRPr="00D22330" w:rsidRDefault="00661FF4" w:rsidP="00CE5F45">
      <w:pPr>
        <w:pStyle w:val="NormalWeb"/>
        <w:spacing w:before="0" w:beforeAutospacing="0" w:after="0" w:afterAutospacing="0" w:line="276" w:lineRule="auto"/>
        <w:jc w:val="both"/>
        <w:rPr>
          <w:color w:val="000000"/>
          <w:sz w:val="22"/>
          <w:szCs w:val="22"/>
        </w:rPr>
      </w:pPr>
    </w:p>
    <w:p w:rsidR="00717DD7" w:rsidRPr="00D22330" w:rsidRDefault="00717DD7" w:rsidP="00CE5F45">
      <w:pPr>
        <w:pStyle w:val="NormalWeb"/>
        <w:spacing w:before="0" w:beforeAutospacing="0" w:after="0" w:afterAutospacing="0" w:line="276" w:lineRule="auto"/>
        <w:jc w:val="both"/>
        <w:rPr>
          <w:rFonts w:ascii="Arial" w:eastAsia="Arial Unicode MS" w:hAnsi="Arial" w:cs="Arial"/>
          <w:b/>
          <w:bCs/>
          <w:color w:val="000000" w:themeColor="text1"/>
          <w:sz w:val="20"/>
          <w:szCs w:val="20"/>
        </w:rPr>
      </w:pPr>
      <w:r w:rsidRPr="00D22330">
        <w:rPr>
          <w:rFonts w:ascii="Arial" w:eastAsia="Arial Unicode MS" w:hAnsi="Arial" w:cs="Arial"/>
          <w:b/>
          <w:bCs/>
          <w:color w:val="000000" w:themeColor="text1"/>
          <w:sz w:val="20"/>
          <w:szCs w:val="20"/>
        </w:rPr>
        <w:t>MOTS CLEFS : propriété littéraire et artistique –</w:t>
      </w:r>
      <w:r w:rsidR="00E74850">
        <w:rPr>
          <w:rFonts w:ascii="Arial" w:eastAsia="Arial Unicode MS" w:hAnsi="Arial" w:cs="Arial"/>
          <w:b/>
          <w:bCs/>
          <w:color w:val="000000" w:themeColor="text1"/>
          <w:sz w:val="20"/>
          <w:szCs w:val="20"/>
        </w:rPr>
        <w:t xml:space="preserve"> violation </w:t>
      </w:r>
      <w:r w:rsidR="00E74850" w:rsidRPr="00D22330">
        <w:rPr>
          <w:rFonts w:ascii="Arial" w:eastAsia="Arial Unicode MS" w:hAnsi="Arial" w:cs="Arial"/>
          <w:b/>
          <w:bCs/>
          <w:color w:val="000000" w:themeColor="text1"/>
          <w:sz w:val="20"/>
          <w:szCs w:val="20"/>
        </w:rPr>
        <w:t>droits voisin</w:t>
      </w:r>
      <w:r w:rsidR="00E74850">
        <w:rPr>
          <w:rFonts w:ascii="Arial" w:eastAsia="Arial Unicode MS" w:hAnsi="Arial" w:cs="Arial"/>
          <w:b/>
          <w:bCs/>
          <w:color w:val="000000" w:themeColor="text1"/>
          <w:sz w:val="20"/>
          <w:szCs w:val="20"/>
        </w:rPr>
        <w:t>s –</w:t>
      </w:r>
      <w:r w:rsidRPr="00D22330">
        <w:rPr>
          <w:rFonts w:ascii="Arial" w:eastAsia="Arial Unicode MS" w:hAnsi="Arial" w:cs="Arial"/>
          <w:b/>
          <w:bCs/>
          <w:color w:val="000000" w:themeColor="text1"/>
          <w:sz w:val="20"/>
          <w:szCs w:val="20"/>
        </w:rPr>
        <w:t xml:space="preserve"> artistes-interprètes </w:t>
      </w:r>
      <w:r w:rsidR="00AA1A3E" w:rsidRPr="00D22330">
        <w:rPr>
          <w:rFonts w:ascii="Arial" w:eastAsia="Arial Unicode MS" w:hAnsi="Arial" w:cs="Arial"/>
          <w:b/>
          <w:bCs/>
          <w:color w:val="000000" w:themeColor="text1"/>
          <w:sz w:val="20"/>
          <w:szCs w:val="20"/>
        </w:rPr>
        <w:t xml:space="preserve">– organisme de gestion collective </w:t>
      </w:r>
      <w:r w:rsidR="001A04D4">
        <w:rPr>
          <w:rFonts w:ascii="Arial" w:eastAsia="Arial Unicode MS" w:hAnsi="Arial" w:cs="Arial"/>
          <w:b/>
          <w:bCs/>
          <w:color w:val="000000" w:themeColor="text1"/>
          <w:sz w:val="20"/>
          <w:szCs w:val="20"/>
        </w:rPr>
        <w:t>– préjudice individuel et collectif</w:t>
      </w:r>
      <w:r w:rsidR="00E74850">
        <w:rPr>
          <w:rFonts w:ascii="Arial" w:eastAsia="Arial Unicode MS" w:hAnsi="Arial" w:cs="Arial"/>
          <w:b/>
          <w:bCs/>
          <w:color w:val="000000" w:themeColor="text1"/>
          <w:sz w:val="20"/>
          <w:szCs w:val="20"/>
        </w:rPr>
        <w:t xml:space="preserve"> </w:t>
      </w:r>
    </w:p>
    <w:p w:rsidR="00717DD7" w:rsidRPr="00717DD7" w:rsidRDefault="00717DD7" w:rsidP="00CE5F45">
      <w:pPr>
        <w:pStyle w:val="NormalWeb"/>
        <w:spacing w:before="0" w:beforeAutospacing="0" w:after="0" w:afterAutospacing="0" w:line="276" w:lineRule="auto"/>
        <w:jc w:val="both"/>
        <w:rPr>
          <w:color w:val="7B7B7B" w:themeColor="accent3" w:themeShade="BF"/>
        </w:rPr>
      </w:pPr>
    </w:p>
    <w:p w:rsidR="00717B26" w:rsidRPr="00C57518" w:rsidRDefault="00661FF4" w:rsidP="00CE5F45">
      <w:pPr>
        <w:pStyle w:val="NormalWeb"/>
        <w:spacing w:before="0" w:beforeAutospacing="0" w:after="0" w:afterAutospacing="0" w:line="276" w:lineRule="auto"/>
        <w:jc w:val="both"/>
        <w:rPr>
          <w:i/>
          <w:iCs/>
          <w:color w:val="767171" w:themeColor="background2" w:themeShade="80"/>
        </w:rPr>
      </w:pPr>
      <w:r w:rsidRPr="00C57518">
        <w:rPr>
          <w:i/>
          <w:iCs/>
          <w:color w:val="767171" w:themeColor="background2" w:themeShade="80"/>
        </w:rPr>
        <w:t xml:space="preserve">L’arrêt rendu par la Cour d’appel de Paris le 23 mai 2025 s’inscrit dans la continuité des décisions condamnant la société Universal pour atteinte aux droits voisins des artistes-interprètes. Cette </w:t>
      </w:r>
      <w:r w:rsidR="00AA1A3E" w:rsidRPr="00C57518">
        <w:rPr>
          <w:i/>
          <w:iCs/>
          <w:color w:val="767171" w:themeColor="background2" w:themeShade="80"/>
        </w:rPr>
        <w:t>décision</w:t>
      </w:r>
      <w:r w:rsidRPr="00C57518">
        <w:rPr>
          <w:i/>
          <w:iCs/>
          <w:color w:val="767171" w:themeColor="background2" w:themeShade="80"/>
        </w:rPr>
        <w:t xml:space="preserve"> met en lumière à la fois la responsabilité des acteurs professionnels</w:t>
      </w:r>
      <w:r w:rsidR="00AA1A3E" w:rsidRPr="00C57518">
        <w:rPr>
          <w:i/>
          <w:iCs/>
          <w:color w:val="767171" w:themeColor="background2" w:themeShade="80"/>
        </w:rPr>
        <w:t xml:space="preserve"> dominants</w:t>
      </w:r>
      <w:r w:rsidRPr="00C57518">
        <w:rPr>
          <w:i/>
          <w:iCs/>
          <w:color w:val="767171" w:themeColor="background2" w:themeShade="80"/>
        </w:rPr>
        <w:t xml:space="preserve"> </w:t>
      </w:r>
      <w:r w:rsidR="00AA1A3E" w:rsidRPr="00C57518">
        <w:rPr>
          <w:i/>
          <w:iCs/>
          <w:color w:val="767171" w:themeColor="background2" w:themeShade="80"/>
        </w:rPr>
        <w:t>dans le</w:t>
      </w:r>
      <w:r w:rsidRPr="00C57518">
        <w:rPr>
          <w:i/>
          <w:iCs/>
          <w:color w:val="767171" w:themeColor="background2" w:themeShade="80"/>
        </w:rPr>
        <w:t xml:space="preserve"> secteur phonographique et le rôle essentiel des organismes de gestion collective, tels que la société de perception et de distribution des droits des artistes-interprètes (SPEDIDAM), dans la défense des droits individuels et collectifs des artistes-interprètes.</w:t>
      </w:r>
    </w:p>
    <w:p w:rsidR="00CE5F45" w:rsidRDefault="007B05C8" w:rsidP="00CE5F45">
      <w:pPr>
        <w:pStyle w:val="NormalWeb"/>
        <w:spacing w:before="0" w:beforeAutospacing="0" w:after="0" w:afterAutospacing="0" w:line="276" w:lineRule="auto"/>
        <w:jc w:val="both"/>
        <w:rPr>
          <w:i/>
          <w:iCs/>
          <w:color w:val="525252" w:themeColor="accent3" w:themeShade="80"/>
        </w:rPr>
      </w:pPr>
      <w:r>
        <w:rPr>
          <w:i/>
          <w:iCs/>
          <w:noProof/>
          <w:color w:val="A5A5A5" w:themeColor="accent3"/>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204412</wp:posOffset>
                </wp:positionV>
                <wp:extent cx="6523349" cy="5524107"/>
                <wp:effectExtent l="0" t="0" r="17780" b="13335"/>
                <wp:wrapNone/>
                <wp:docPr id="1710266005" name="Zone de texte 1"/>
                <wp:cNvGraphicFramePr/>
                <a:graphic xmlns:a="http://schemas.openxmlformats.org/drawingml/2006/main">
                  <a:graphicData uri="http://schemas.microsoft.com/office/word/2010/wordprocessingShape">
                    <wps:wsp>
                      <wps:cNvSpPr txBox="1"/>
                      <wps:spPr>
                        <a:xfrm>
                          <a:off x="0" y="0"/>
                          <a:ext cx="6523349" cy="5524107"/>
                        </a:xfrm>
                        <a:prstGeom prst="rect">
                          <a:avLst/>
                        </a:prstGeom>
                        <a:solidFill>
                          <a:schemeClr val="lt1"/>
                        </a:solidFill>
                        <a:ln w="9525">
                          <a:solidFill>
                            <a:prstClr val="black"/>
                          </a:solidFill>
                        </a:ln>
                      </wps:spPr>
                      <wps:txbx>
                        <w:txbxContent>
                          <w:p w:rsidR="00717DD7" w:rsidRPr="008A1AFD" w:rsidRDefault="00717DD7" w:rsidP="00CE5F45">
                            <w:pPr>
                              <w:spacing w:line="276" w:lineRule="auto"/>
                              <w:jc w:val="both"/>
                              <w:rPr>
                                <w:rFonts w:ascii="Times New Roman" w:hAnsi="Times New Roman" w:cs="Times New Roman"/>
                              </w:rPr>
                            </w:pPr>
                            <w:r w:rsidRPr="00717B26">
                              <w:rPr>
                                <w:rFonts w:ascii="Arial" w:hAnsi="Arial" w:cs="Arial"/>
                                <w:b/>
                                <w:bCs/>
                                <w:sz w:val="18"/>
                                <w:szCs w:val="18"/>
                              </w:rPr>
                              <w:t>FAITS</w:t>
                            </w:r>
                            <w:r w:rsidRPr="00717B26">
                              <w:rPr>
                                <w:rFonts w:ascii="Times New Roman" w:hAnsi="Times New Roman" w:cs="Times New Roman"/>
                                <w:sz w:val="18"/>
                                <w:szCs w:val="18"/>
                              </w:rPr>
                              <w:t> </w:t>
                            </w:r>
                            <w:r w:rsidRPr="008A1AFD">
                              <w:rPr>
                                <w:rFonts w:ascii="Times New Roman" w:hAnsi="Times New Roman" w:cs="Times New Roman"/>
                              </w:rPr>
                              <w:t xml:space="preserve">: En l’espèce, en 2007 soixante-treize artistes-interprètes ont </w:t>
                            </w:r>
                            <w:r w:rsidR="00272FED">
                              <w:rPr>
                                <w:rFonts w:ascii="Times New Roman" w:hAnsi="Times New Roman" w:cs="Times New Roman"/>
                              </w:rPr>
                              <w:t xml:space="preserve">participé à un concert organisé </w:t>
                            </w:r>
                            <w:r w:rsidRPr="008A1AFD">
                              <w:rPr>
                                <w:rFonts w:ascii="Times New Roman" w:hAnsi="Times New Roman" w:cs="Times New Roman"/>
                              </w:rPr>
                              <w:t xml:space="preserve">par une association et </w:t>
                            </w:r>
                            <w:r>
                              <w:rPr>
                                <w:rFonts w:ascii="Times New Roman" w:hAnsi="Times New Roman" w:cs="Times New Roman"/>
                              </w:rPr>
                              <w:t xml:space="preserve">ont </w:t>
                            </w:r>
                            <w:r w:rsidRPr="008A1AFD">
                              <w:rPr>
                                <w:rFonts w:ascii="Times New Roman" w:hAnsi="Times New Roman" w:cs="Times New Roman"/>
                              </w:rPr>
                              <w:t xml:space="preserve">été rémunérés </w:t>
                            </w:r>
                            <w:r w:rsidR="00272FED">
                              <w:rPr>
                                <w:rFonts w:ascii="Times New Roman" w:hAnsi="Times New Roman" w:cs="Times New Roman"/>
                              </w:rPr>
                              <w:t>par</w:t>
                            </w:r>
                            <w:r w:rsidRPr="008A1AFD">
                              <w:rPr>
                                <w:rFonts w:ascii="Times New Roman" w:hAnsi="Times New Roman" w:cs="Times New Roman"/>
                              </w:rPr>
                              <w:t xml:space="preserve"> </w:t>
                            </w:r>
                            <w:r w:rsidR="00272FED">
                              <w:rPr>
                                <w:rFonts w:ascii="Times New Roman" w:hAnsi="Times New Roman" w:cs="Times New Roman"/>
                              </w:rPr>
                              <w:t>un</w:t>
                            </w:r>
                            <w:r w:rsidRPr="008A1AFD">
                              <w:rPr>
                                <w:rFonts w:ascii="Times New Roman" w:hAnsi="Times New Roman" w:cs="Times New Roman"/>
                              </w:rPr>
                              <w:t xml:space="preserve"> contrat à durée déterminée d’usage</w:t>
                            </w:r>
                            <w:r w:rsidR="00272FED">
                              <w:rPr>
                                <w:rFonts w:ascii="Times New Roman" w:hAnsi="Times New Roman" w:cs="Times New Roman"/>
                              </w:rPr>
                              <w:t xml:space="preserve"> </w:t>
                            </w:r>
                            <w:r w:rsidR="00ED2B23">
                              <w:rPr>
                                <w:rFonts w:ascii="Times New Roman" w:hAnsi="Times New Roman" w:cs="Times New Roman"/>
                              </w:rPr>
                              <w:t xml:space="preserve">(CDDU) </w:t>
                            </w:r>
                            <w:r w:rsidR="00272FED">
                              <w:rPr>
                                <w:rFonts w:ascii="Times New Roman" w:hAnsi="Times New Roman" w:cs="Times New Roman"/>
                              </w:rPr>
                              <w:t>prévoyant</w:t>
                            </w:r>
                            <w:r w:rsidRPr="008A1AFD">
                              <w:rPr>
                                <w:rFonts w:ascii="Times New Roman" w:hAnsi="Times New Roman" w:cs="Times New Roman"/>
                              </w:rPr>
                              <w:t xml:space="preserve"> l’enregistrement </w:t>
                            </w:r>
                            <w:r w:rsidR="00272FED">
                              <w:rPr>
                                <w:rFonts w:ascii="Times New Roman" w:hAnsi="Times New Roman" w:cs="Times New Roman"/>
                              </w:rPr>
                              <w:t xml:space="preserve">uniquement à des fins </w:t>
                            </w:r>
                            <w:r w:rsidRPr="008A1AFD">
                              <w:rPr>
                                <w:rFonts w:ascii="Times New Roman" w:hAnsi="Times New Roman" w:cs="Times New Roman"/>
                              </w:rPr>
                              <w:t>d’archivage. Ces artistes-interprètes ont réaffirmé leur accord à cette fin en signant une feuille de présence à destination d’archivage</w:t>
                            </w:r>
                            <w:r>
                              <w:rPr>
                                <w:rFonts w:ascii="Times New Roman" w:hAnsi="Times New Roman" w:cs="Times New Roman"/>
                              </w:rPr>
                              <w:t xml:space="preserve">, </w:t>
                            </w:r>
                            <w:r w:rsidRPr="008A1AFD">
                              <w:rPr>
                                <w:rFonts w:ascii="Times New Roman" w:hAnsi="Times New Roman" w:cs="Times New Roman"/>
                              </w:rPr>
                              <w:t xml:space="preserve">édité par la SPEDIDAM. Quelques années plus tard, la société Universal a édité et commercialisé un disque comportant cet enregistrement du concert au titre qu’elle avait conclu un contrat de licence avec l’association organisatrice du concert. Par conséquent, la SPEDIDAM a assigné ladite société devant le Tribunal judicaire de Paris le 17 février 2022 pour avoir édité et commercialisé ce disque alors qu’aucune autorisation n’a été donnée et qu’aucun artiste-interprète </w:t>
                            </w:r>
                            <w:r w:rsidR="00146AC6">
                              <w:rPr>
                                <w:rFonts w:ascii="Times New Roman" w:hAnsi="Times New Roman" w:cs="Times New Roman"/>
                              </w:rPr>
                              <w:t>n’</w:t>
                            </w:r>
                            <w:r w:rsidRPr="008A1AFD">
                              <w:rPr>
                                <w:rFonts w:ascii="Times New Roman" w:hAnsi="Times New Roman" w:cs="Times New Roman"/>
                              </w:rPr>
                              <w:t xml:space="preserve">a été rémunéré pour cette exploitation.  </w:t>
                            </w:r>
                          </w:p>
                          <w:p w:rsidR="00717DD7" w:rsidRPr="008A1AFD" w:rsidRDefault="00717DD7" w:rsidP="00CE5F45">
                            <w:pPr>
                              <w:spacing w:line="276" w:lineRule="auto"/>
                              <w:jc w:val="both"/>
                              <w:rPr>
                                <w:rFonts w:ascii="Times New Roman" w:hAnsi="Times New Roman" w:cs="Times New Roman"/>
                              </w:rPr>
                            </w:pPr>
                          </w:p>
                          <w:p w:rsidR="00717DD7" w:rsidRPr="008A1AFD" w:rsidRDefault="00AA1A3E" w:rsidP="00CE5F45">
                            <w:pPr>
                              <w:spacing w:line="276" w:lineRule="auto"/>
                              <w:jc w:val="both"/>
                              <w:rPr>
                                <w:rFonts w:ascii="Times New Roman" w:hAnsi="Times New Roman" w:cs="Times New Roman"/>
                              </w:rPr>
                            </w:pPr>
                            <w:r w:rsidRPr="00717B26">
                              <w:rPr>
                                <w:rFonts w:ascii="Arial" w:hAnsi="Arial" w:cs="Arial"/>
                                <w:b/>
                                <w:bCs/>
                                <w:sz w:val="18"/>
                                <w:szCs w:val="18"/>
                              </w:rPr>
                              <w:t>PROCÉDURE</w:t>
                            </w:r>
                            <w:r w:rsidRPr="00717B26">
                              <w:rPr>
                                <w:rFonts w:ascii="Times New Roman" w:hAnsi="Times New Roman" w:cs="Times New Roman"/>
                                <w:sz w:val="18"/>
                                <w:szCs w:val="18"/>
                              </w:rPr>
                              <w:t> </w:t>
                            </w:r>
                            <w:r w:rsidR="00717DD7" w:rsidRPr="008A1AFD">
                              <w:rPr>
                                <w:rFonts w:ascii="Times New Roman" w:hAnsi="Times New Roman" w:cs="Times New Roman"/>
                              </w:rPr>
                              <w:t>: Par jugement du 11 octobre 2023, le Tribunal judiciaire de Paris a reconnu le caractère illicite de l’exploitation</w:t>
                            </w:r>
                            <w:r w:rsidR="00717DD7">
                              <w:rPr>
                                <w:rFonts w:ascii="Times New Roman" w:hAnsi="Times New Roman" w:cs="Times New Roman"/>
                              </w:rPr>
                              <w:t xml:space="preserve"> du concert</w:t>
                            </w:r>
                            <w:r w:rsidR="00717DD7" w:rsidRPr="008A1AFD">
                              <w:rPr>
                                <w:rFonts w:ascii="Times New Roman" w:hAnsi="Times New Roman" w:cs="Times New Roman"/>
                              </w:rPr>
                              <w:t xml:space="preserve"> et reconnu l’atteinte aux droits voisins des soixante-treize artistes-interprètes. Par ce jugement, le Tribunal judiciaire a condamné la société Universal à </w:t>
                            </w:r>
                            <w:r w:rsidR="00717DD7">
                              <w:rPr>
                                <w:rFonts w:ascii="Times New Roman" w:hAnsi="Times New Roman" w:cs="Times New Roman"/>
                              </w:rPr>
                              <w:t xml:space="preserve">verser </w:t>
                            </w:r>
                            <w:r w:rsidR="00717DD7" w:rsidRPr="008A1AFD">
                              <w:rPr>
                                <w:rFonts w:ascii="Times New Roman" w:hAnsi="Times New Roman" w:cs="Times New Roman"/>
                              </w:rPr>
                              <w:t xml:space="preserve">45 000 euros d’indemnisation </w:t>
                            </w:r>
                            <w:r w:rsidR="00717DD7">
                              <w:rPr>
                                <w:rFonts w:ascii="Times New Roman" w:hAnsi="Times New Roman" w:cs="Times New Roman"/>
                              </w:rPr>
                              <w:t>envers la SPEDIDAM. Dès lors, l</w:t>
                            </w:r>
                            <w:r w:rsidR="00717DD7" w:rsidRPr="008A1AFD">
                              <w:rPr>
                                <w:rFonts w:ascii="Times New Roman" w:hAnsi="Times New Roman" w:cs="Times New Roman"/>
                              </w:rPr>
                              <w:t xml:space="preserve">a société Universal </w:t>
                            </w:r>
                            <w:r w:rsidR="00717DD7">
                              <w:rPr>
                                <w:rFonts w:ascii="Times New Roman" w:hAnsi="Times New Roman" w:cs="Times New Roman"/>
                              </w:rPr>
                              <w:t xml:space="preserve">a interjeté appel. En effet, cette dernière </w:t>
                            </w:r>
                            <w:r w:rsidR="00717DD7" w:rsidRPr="008A1AFD">
                              <w:rPr>
                                <w:rFonts w:ascii="Times New Roman" w:hAnsi="Times New Roman" w:cs="Times New Roman"/>
                              </w:rPr>
                              <w:t xml:space="preserve">s’est prévalue des droits d’exploitation de l’enregistrement qu’elle estimait détenir par </w:t>
                            </w:r>
                            <w:r w:rsidR="00717DD7">
                              <w:rPr>
                                <w:rFonts w:ascii="Times New Roman" w:hAnsi="Times New Roman" w:cs="Times New Roman"/>
                              </w:rPr>
                              <w:t>la</w:t>
                            </w:r>
                            <w:r w:rsidR="00717DD7" w:rsidRPr="008A1AFD">
                              <w:rPr>
                                <w:rFonts w:ascii="Times New Roman" w:hAnsi="Times New Roman" w:cs="Times New Roman"/>
                              </w:rPr>
                              <w:t xml:space="preserve"> conclusion d’un contrat de licence avec l’association organisatrice du concert.</w:t>
                            </w:r>
                          </w:p>
                          <w:p w:rsidR="00717DD7" w:rsidRPr="008A1AFD" w:rsidRDefault="00717DD7" w:rsidP="00CE5F45">
                            <w:pPr>
                              <w:spacing w:line="276" w:lineRule="auto"/>
                              <w:jc w:val="both"/>
                              <w:rPr>
                                <w:rFonts w:ascii="Times New Roman" w:hAnsi="Times New Roman" w:cs="Times New Roman"/>
                              </w:rPr>
                            </w:pPr>
                          </w:p>
                          <w:p w:rsidR="00717DD7" w:rsidRPr="008A1AFD" w:rsidRDefault="00717DD7" w:rsidP="00CE5F45">
                            <w:pPr>
                              <w:spacing w:line="276" w:lineRule="auto"/>
                              <w:jc w:val="both"/>
                              <w:rPr>
                                <w:rFonts w:ascii="Times New Roman" w:hAnsi="Times New Roman" w:cs="Times New Roman"/>
                              </w:rPr>
                            </w:pPr>
                            <w:r w:rsidRPr="00717B26">
                              <w:rPr>
                                <w:rFonts w:ascii="Arial" w:hAnsi="Arial" w:cs="Arial"/>
                                <w:b/>
                                <w:bCs/>
                                <w:sz w:val="18"/>
                                <w:szCs w:val="18"/>
                              </w:rPr>
                              <w:t>PROBLÈME DE DROIT</w:t>
                            </w:r>
                            <w:r w:rsidRPr="00717B26">
                              <w:rPr>
                                <w:rFonts w:ascii="Times New Roman" w:hAnsi="Times New Roman" w:cs="Times New Roman"/>
                                <w:sz w:val="18"/>
                                <w:szCs w:val="18"/>
                              </w:rPr>
                              <w:t> </w:t>
                            </w:r>
                            <w:r w:rsidRPr="008A1AFD">
                              <w:rPr>
                                <w:rFonts w:ascii="Times New Roman" w:hAnsi="Times New Roman" w:cs="Times New Roman"/>
                              </w:rPr>
                              <w:t xml:space="preserve">: </w:t>
                            </w:r>
                            <w:r w:rsidR="00AA1A3E">
                              <w:rPr>
                                <w:rFonts w:ascii="Times New Roman" w:hAnsi="Times New Roman" w:cs="Times New Roman"/>
                              </w:rPr>
                              <w:t>Se pose la question de savoir si l</w:t>
                            </w:r>
                            <w:r w:rsidRPr="008A1AFD">
                              <w:rPr>
                                <w:rFonts w:ascii="Times New Roman" w:hAnsi="Times New Roman" w:cs="Times New Roman"/>
                              </w:rPr>
                              <w:t>a société Universal pouvait</w:t>
                            </w:r>
                            <w:r w:rsidR="00146AC6">
                              <w:rPr>
                                <w:rFonts w:ascii="Times New Roman" w:hAnsi="Times New Roman" w:cs="Times New Roman"/>
                              </w:rPr>
                              <w:t xml:space="preserve"> ou non</w:t>
                            </w:r>
                            <w:r w:rsidRPr="008A1AFD">
                              <w:rPr>
                                <w:rFonts w:ascii="Times New Roman" w:hAnsi="Times New Roman" w:cs="Times New Roman"/>
                              </w:rPr>
                              <w:t xml:space="preserve"> exploiter et commercialiser l’enregistrement d’un concert sans l’autorisation des artistes-interprètes, au seul motif qu’elle détenait un</w:t>
                            </w:r>
                            <w:r>
                              <w:rPr>
                                <w:rFonts w:ascii="Times New Roman" w:hAnsi="Times New Roman" w:cs="Times New Roman"/>
                              </w:rPr>
                              <w:t xml:space="preserve"> contrat de licence </w:t>
                            </w:r>
                            <w:r w:rsidRPr="008A1AFD">
                              <w:rPr>
                                <w:rFonts w:ascii="Times New Roman" w:hAnsi="Times New Roman" w:cs="Times New Roman"/>
                              </w:rPr>
                              <w:t>conclu avec l’association organisatrice du concert</w:t>
                            </w:r>
                            <w:r w:rsidR="00146AC6">
                              <w:rPr>
                                <w:rFonts w:ascii="Times New Roman" w:hAnsi="Times New Roman" w:cs="Times New Roman"/>
                              </w:rPr>
                              <w:t xml:space="preserve">. </w:t>
                            </w:r>
                            <w:r w:rsidRPr="008A1AFD">
                              <w:rPr>
                                <w:rFonts w:ascii="Times New Roman" w:hAnsi="Times New Roman" w:cs="Times New Roman"/>
                              </w:rPr>
                              <w:t xml:space="preserve"> </w:t>
                            </w:r>
                          </w:p>
                          <w:p w:rsidR="00717DD7" w:rsidRPr="008A1AFD" w:rsidRDefault="00717DD7" w:rsidP="00CE5F45">
                            <w:pPr>
                              <w:spacing w:line="276" w:lineRule="auto"/>
                              <w:jc w:val="both"/>
                              <w:rPr>
                                <w:rFonts w:ascii="Times New Roman" w:hAnsi="Times New Roman" w:cs="Times New Roman"/>
                              </w:rPr>
                            </w:pPr>
                          </w:p>
                          <w:p w:rsidR="00717DD7" w:rsidRPr="00272FED" w:rsidRDefault="00717DD7" w:rsidP="00272FED">
                            <w:pPr>
                              <w:spacing w:line="276" w:lineRule="auto"/>
                              <w:jc w:val="both"/>
                              <w:rPr>
                                <w:rFonts w:ascii="Times New Roman" w:hAnsi="Times New Roman" w:cs="Times New Roman"/>
                                <w:color w:val="000000"/>
                              </w:rPr>
                            </w:pPr>
                            <w:r w:rsidRPr="00717B26">
                              <w:rPr>
                                <w:rFonts w:ascii="Arial" w:hAnsi="Arial" w:cs="Arial"/>
                                <w:b/>
                                <w:bCs/>
                                <w:sz w:val="18"/>
                                <w:szCs w:val="18"/>
                              </w:rPr>
                              <w:t>SOLUTION</w:t>
                            </w:r>
                            <w:r w:rsidRPr="00717B26">
                              <w:rPr>
                                <w:rFonts w:ascii="Times New Roman" w:hAnsi="Times New Roman" w:cs="Times New Roman"/>
                                <w:sz w:val="18"/>
                                <w:szCs w:val="18"/>
                              </w:rPr>
                              <w:t> </w:t>
                            </w:r>
                            <w:r w:rsidRPr="008A1AFD">
                              <w:rPr>
                                <w:rFonts w:ascii="Times New Roman" w:hAnsi="Times New Roman" w:cs="Times New Roman"/>
                              </w:rPr>
                              <w:t xml:space="preserve">: </w:t>
                            </w:r>
                            <w:r w:rsidRPr="008A1AFD">
                              <w:rPr>
                                <w:rFonts w:ascii="Times New Roman" w:hAnsi="Times New Roman" w:cs="Times New Roman"/>
                                <w:color w:val="000000"/>
                              </w:rPr>
                              <w:t xml:space="preserve">Par son arrêt du 23 mai 2025, la Cour d’appel de Paris a confirmé </w:t>
                            </w:r>
                            <w:r>
                              <w:rPr>
                                <w:rFonts w:ascii="Times New Roman" w:hAnsi="Times New Roman" w:cs="Times New Roman"/>
                                <w:color w:val="000000"/>
                              </w:rPr>
                              <w:t>que l’exploitation et la commercialisation de l’enregistrement du concert constitu</w:t>
                            </w:r>
                            <w:r w:rsidR="00146AC6">
                              <w:rPr>
                                <w:rFonts w:ascii="Times New Roman" w:hAnsi="Times New Roman" w:cs="Times New Roman"/>
                                <w:color w:val="000000"/>
                              </w:rPr>
                              <w:t>ent</w:t>
                            </w:r>
                            <w:r>
                              <w:rPr>
                                <w:rFonts w:ascii="Times New Roman" w:hAnsi="Times New Roman" w:cs="Times New Roman"/>
                                <w:color w:val="000000"/>
                              </w:rPr>
                              <w:t xml:space="preserve"> bien une atteinte </w:t>
                            </w:r>
                            <w:r w:rsidRPr="008A1AFD">
                              <w:rPr>
                                <w:rFonts w:ascii="Times New Roman" w:hAnsi="Times New Roman" w:cs="Times New Roman"/>
                                <w:color w:val="000000"/>
                              </w:rPr>
                              <w:t>aux droits voisins des artistes-interprètes</w:t>
                            </w:r>
                            <w:r>
                              <w:rPr>
                                <w:rFonts w:ascii="Times New Roman" w:hAnsi="Times New Roman" w:cs="Times New Roman"/>
                                <w:color w:val="000000"/>
                              </w:rPr>
                              <w:t xml:space="preserve">, malgré l’existence du contrat de licence. De plus, la Cour d’appel de Paris a retenu, en infirmant le jugement, </w:t>
                            </w:r>
                            <w:r w:rsidRPr="008A1AFD">
                              <w:rPr>
                                <w:rFonts w:ascii="Times New Roman" w:hAnsi="Times New Roman" w:cs="Times New Roman"/>
                                <w:color w:val="000000"/>
                              </w:rPr>
                              <w:t>deux chefs d’indemnisation distincts</w:t>
                            </w:r>
                            <w:r>
                              <w:rPr>
                                <w:rFonts w:ascii="Times New Roman" w:hAnsi="Times New Roman" w:cs="Times New Roman"/>
                                <w:color w:val="000000"/>
                              </w:rPr>
                              <w:t xml:space="preserve"> : 45.000 euros au titre du préjudice individuel des artistes-interprètes et une condamnation </w:t>
                            </w:r>
                            <w:r w:rsidR="00C80F4B">
                              <w:rPr>
                                <w:rFonts w:ascii="Times New Roman" w:hAnsi="Times New Roman" w:cs="Times New Roman"/>
                                <w:color w:val="000000"/>
                              </w:rPr>
                              <w:t xml:space="preserve">de </w:t>
                            </w:r>
                            <w:r w:rsidRPr="008A1AFD">
                              <w:rPr>
                                <w:rFonts w:ascii="Times New Roman" w:hAnsi="Times New Roman" w:cs="Times New Roman"/>
                                <w:color w:val="000000"/>
                              </w:rPr>
                              <w:t xml:space="preserve">5.000 euros au titre du préjudice collectif subi par la profession, </w:t>
                            </w:r>
                            <w:r>
                              <w:rPr>
                                <w:rFonts w:ascii="Times New Roman" w:hAnsi="Times New Roman" w:cs="Times New Roman"/>
                                <w:color w:val="000000"/>
                              </w:rPr>
                              <w:t>sur requête</w:t>
                            </w:r>
                            <w:r w:rsidRPr="008A1AFD">
                              <w:rPr>
                                <w:rFonts w:ascii="Times New Roman" w:hAnsi="Times New Roman" w:cs="Times New Roman"/>
                                <w:color w:val="000000"/>
                              </w:rPr>
                              <w:t xml:space="preserve"> </w:t>
                            </w:r>
                            <w:r>
                              <w:rPr>
                                <w:rFonts w:ascii="Times New Roman" w:hAnsi="Times New Roman" w:cs="Times New Roman"/>
                                <w:color w:val="000000"/>
                              </w:rPr>
                              <w:t>de</w:t>
                            </w:r>
                            <w:r w:rsidRPr="008A1AFD">
                              <w:rPr>
                                <w:rFonts w:ascii="Times New Roman" w:hAnsi="Times New Roman" w:cs="Times New Roman"/>
                                <w:color w:val="000000"/>
                              </w:rPr>
                              <w:t xml:space="preserve"> la SPEDIDAM.</w:t>
                            </w:r>
                          </w:p>
                          <w:p w:rsidR="00717DD7" w:rsidRDefault="00717DD7"/>
                          <w:p w:rsidR="00717DD7" w:rsidRDefault="00717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4.6pt;margin-top:16.1pt;width:513.65pt;height:4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" fillcolor="white [3201]">
                <v:textbox>
                  <w:txbxContent>
                    <w:p w:rsidR="00717DD7" w:rsidRPr="008A1AFD" w:rsidRDefault="00717DD7" w:rsidP="00CE5F45">
                      <w:pPr>
                        <w:spacing w:line="276" w:lineRule="auto"/>
                        <w:jc w:val="both"/>
                        <w:rPr>
                          <w:rFonts w:ascii="Times New Roman" w:hAnsi="Times New Roman" w:cs="Times New Roman"/>
                        </w:rPr>
                      </w:pPr>
                      <w:r w:rsidRPr="00717B26">
                        <w:rPr>
                          <w:rFonts w:ascii="Arial" w:hAnsi="Arial" w:cs="Arial"/>
                          <w:b/>
                          <w:bCs/>
                          <w:sz w:val="18"/>
                          <w:szCs w:val="18"/>
                        </w:rPr>
                        <w:t>FAITS</w:t>
                      </w:r>
                      <w:r w:rsidRPr="00717B26">
                        <w:rPr>
                          <w:rFonts w:ascii="Times New Roman" w:hAnsi="Times New Roman" w:cs="Times New Roman"/>
                          <w:sz w:val="18"/>
                          <w:szCs w:val="18"/>
                        </w:rPr>
                        <w:t> </w:t>
                      </w:r>
                      <w:r w:rsidRPr="008A1AFD">
                        <w:rPr>
                          <w:rFonts w:ascii="Times New Roman" w:hAnsi="Times New Roman" w:cs="Times New Roman"/>
                        </w:rPr>
                        <w:t xml:space="preserve">: En l’espèce, en 2007 soixante-treize artistes-interprètes ont </w:t>
                      </w:r>
                      <w:r w:rsidR="00272FED">
                        <w:rPr>
                          <w:rFonts w:ascii="Times New Roman" w:hAnsi="Times New Roman" w:cs="Times New Roman"/>
                        </w:rPr>
                        <w:t xml:space="preserve">participé à un concert organisé </w:t>
                      </w:r>
                      <w:r w:rsidRPr="008A1AFD">
                        <w:rPr>
                          <w:rFonts w:ascii="Times New Roman" w:hAnsi="Times New Roman" w:cs="Times New Roman"/>
                        </w:rPr>
                        <w:t xml:space="preserve">par une association et </w:t>
                      </w:r>
                      <w:r>
                        <w:rPr>
                          <w:rFonts w:ascii="Times New Roman" w:hAnsi="Times New Roman" w:cs="Times New Roman"/>
                        </w:rPr>
                        <w:t xml:space="preserve">ont </w:t>
                      </w:r>
                      <w:r w:rsidRPr="008A1AFD">
                        <w:rPr>
                          <w:rFonts w:ascii="Times New Roman" w:hAnsi="Times New Roman" w:cs="Times New Roman"/>
                        </w:rPr>
                        <w:t xml:space="preserve">été rémunérés </w:t>
                      </w:r>
                      <w:r w:rsidR="00272FED">
                        <w:rPr>
                          <w:rFonts w:ascii="Times New Roman" w:hAnsi="Times New Roman" w:cs="Times New Roman"/>
                        </w:rPr>
                        <w:t>par</w:t>
                      </w:r>
                      <w:r w:rsidRPr="008A1AFD">
                        <w:rPr>
                          <w:rFonts w:ascii="Times New Roman" w:hAnsi="Times New Roman" w:cs="Times New Roman"/>
                        </w:rPr>
                        <w:t xml:space="preserve"> </w:t>
                      </w:r>
                      <w:r w:rsidR="00272FED">
                        <w:rPr>
                          <w:rFonts w:ascii="Times New Roman" w:hAnsi="Times New Roman" w:cs="Times New Roman"/>
                        </w:rPr>
                        <w:t>un</w:t>
                      </w:r>
                      <w:r w:rsidRPr="008A1AFD">
                        <w:rPr>
                          <w:rFonts w:ascii="Times New Roman" w:hAnsi="Times New Roman" w:cs="Times New Roman"/>
                        </w:rPr>
                        <w:t xml:space="preserve"> contrat à durée déterminée d’usage</w:t>
                      </w:r>
                      <w:r w:rsidR="00272FED">
                        <w:rPr>
                          <w:rFonts w:ascii="Times New Roman" w:hAnsi="Times New Roman" w:cs="Times New Roman"/>
                        </w:rPr>
                        <w:t xml:space="preserve"> </w:t>
                      </w:r>
                      <w:r w:rsidR="00ED2B23">
                        <w:rPr>
                          <w:rFonts w:ascii="Times New Roman" w:hAnsi="Times New Roman" w:cs="Times New Roman"/>
                        </w:rPr>
                        <w:t xml:space="preserve">(CDDU) </w:t>
                      </w:r>
                      <w:r w:rsidR="00272FED">
                        <w:rPr>
                          <w:rFonts w:ascii="Times New Roman" w:hAnsi="Times New Roman" w:cs="Times New Roman"/>
                        </w:rPr>
                        <w:t>prévoyant</w:t>
                      </w:r>
                      <w:r w:rsidRPr="008A1AFD">
                        <w:rPr>
                          <w:rFonts w:ascii="Times New Roman" w:hAnsi="Times New Roman" w:cs="Times New Roman"/>
                        </w:rPr>
                        <w:t xml:space="preserve"> l’enregistrement </w:t>
                      </w:r>
                      <w:r w:rsidR="00272FED">
                        <w:rPr>
                          <w:rFonts w:ascii="Times New Roman" w:hAnsi="Times New Roman" w:cs="Times New Roman"/>
                        </w:rPr>
                        <w:t xml:space="preserve">uniquement à des fins </w:t>
                      </w:r>
                      <w:r w:rsidRPr="008A1AFD">
                        <w:rPr>
                          <w:rFonts w:ascii="Times New Roman" w:hAnsi="Times New Roman" w:cs="Times New Roman"/>
                        </w:rPr>
                        <w:t>d’archivage. Ces artistes-interprètes ont réaffirmé leur accord à cette fin en signant une feuille de présence à destination d’archivage</w:t>
                      </w:r>
                      <w:r>
                        <w:rPr>
                          <w:rFonts w:ascii="Times New Roman" w:hAnsi="Times New Roman" w:cs="Times New Roman"/>
                        </w:rPr>
                        <w:t xml:space="preserve">, </w:t>
                      </w:r>
                      <w:r w:rsidRPr="008A1AFD">
                        <w:rPr>
                          <w:rFonts w:ascii="Times New Roman" w:hAnsi="Times New Roman" w:cs="Times New Roman"/>
                        </w:rPr>
                        <w:t xml:space="preserve">édité par la SPEDIDAM. Quelques années plus tard, la société Universal a édité et commercialisé un disque comportant cet enregistrement du concert au titre qu’elle avait conclu un contrat de licence avec l’association organisatrice du concert. Par conséquent, la SPEDIDAM a assigné ladite société devant le Tribunal judicaire de Paris le 17 février 2022 pour avoir édité et commercialisé ce disque alors qu’aucune autorisation n’a été donnée et qu’aucun artiste-interprète </w:t>
                      </w:r>
                      <w:r w:rsidR="00146AC6">
                        <w:rPr>
                          <w:rFonts w:ascii="Times New Roman" w:hAnsi="Times New Roman" w:cs="Times New Roman"/>
                        </w:rPr>
                        <w:t>n’</w:t>
                      </w:r>
                      <w:r w:rsidRPr="008A1AFD">
                        <w:rPr>
                          <w:rFonts w:ascii="Times New Roman" w:hAnsi="Times New Roman" w:cs="Times New Roman"/>
                        </w:rPr>
                        <w:t xml:space="preserve">a été rémunéré pour cette exploitation.  </w:t>
                      </w:r>
                    </w:p>
                    <w:p w:rsidR="00717DD7" w:rsidRPr="008A1AFD" w:rsidRDefault="00717DD7" w:rsidP="00CE5F45">
                      <w:pPr>
                        <w:spacing w:line="276" w:lineRule="auto"/>
                        <w:jc w:val="both"/>
                        <w:rPr>
                          <w:rFonts w:ascii="Times New Roman" w:hAnsi="Times New Roman" w:cs="Times New Roman"/>
                        </w:rPr>
                      </w:pPr>
                    </w:p>
                    <w:p w:rsidR="00717DD7" w:rsidRPr="008A1AFD" w:rsidRDefault="00AA1A3E" w:rsidP="00CE5F45">
                      <w:pPr>
                        <w:spacing w:line="276" w:lineRule="auto"/>
                        <w:jc w:val="both"/>
                        <w:rPr>
                          <w:rFonts w:ascii="Times New Roman" w:hAnsi="Times New Roman" w:cs="Times New Roman"/>
                        </w:rPr>
                      </w:pPr>
                      <w:r w:rsidRPr="00717B26">
                        <w:rPr>
                          <w:rFonts w:ascii="Arial" w:hAnsi="Arial" w:cs="Arial"/>
                          <w:b/>
                          <w:bCs/>
                          <w:sz w:val="18"/>
                          <w:szCs w:val="18"/>
                        </w:rPr>
                        <w:t>PROCÉDURE</w:t>
                      </w:r>
                      <w:r w:rsidRPr="00717B26">
                        <w:rPr>
                          <w:rFonts w:ascii="Times New Roman" w:hAnsi="Times New Roman" w:cs="Times New Roman"/>
                          <w:sz w:val="18"/>
                          <w:szCs w:val="18"/>
                        </w:rPr>
                        <w:t> </w:t>
                      </w:r>
                      <w:r w:rsidR="00717DD7" w:rsidRPr="008A1AFD">
                        <w:rPr>
                          <w:rFonts w:ascii="Times New Roman" w:hAnsi="Times New Roman" w:cs="Times New Roman"/>
                        </w:rPr>
                        <w:t>: Par jugement du 11 octobre 2023, le Tribunal judiciaire de Paris a reconnu le caractère illicite de l’exploitation</w:t>
                      </w:r>
                      <w:r w:rsidR="00717DD7">
                        <w:rPr>
                          <w:rFonts w:ascii="Times New Roman" w:hAnsi="Times New Roman" w:cs="Times New Roman"/>
                        </w:rPr>
                        <w:t xml:space="preserve"> du concert</w:t>
                      </w:r>
                      <w:r w:rsidR="00717DD7" w:rsidRPr="008A1AFD">
                        <w:rPr>
                          <w:rFonts w:ascii="Times New Roman" w:hAnsi="Times New Roman" w:cs="Times New Roman"/>
                        </w:rPr>
                        <w:t xml:space="preserve"> et reconnu l’atteinte aux droits voisins des soixante-treize artistes-interprètes. Par ce jugement, le Tribunal judiciaire a condamné la société Universal à </w:t>
                      </w:r>
                      <w:r w:rsidR="00717DD7">
                        <w:rPr>
                          <w:rFonts w:ascii="Times New Roman" w:hAnsi="Times New Roman" w:cs="Times New Roman"/>
                        </w:rPr>
                        <w:t xml:space="preserve">verser </w:t>
                      </w:r>
                      <w:r w:rsidR="00717DD7" w:rsidRPr="008A1AFD">
                        <w:rPr>
                          <w:rFonts w:ascii="Times New Roman" w:hAnsi="Times New Roman" w:cs="Times New Roman"/>
                        </w:rPr>
                        <w:t xml:space="preserve">45 000 euros d’indemnisation </w:t>
                      </w:r>
                      <w:r w:rsidR="00717DD7">
                        <w:rPr>
                          <w:rFonts w:ascii="Times New Roman" w:hAnsi="Times New Roman" w:cs="Times New Roman"/>
                        </w:rPr>
                        <w:t>envers la SPEDIDAM. Dès lors, l</w:t>
                      </w:r>
                      <w:r w:rsidR="00717DD7" w:rsidRPr="008A1AFD">
                        <w:rPr>
                          <w:rFonts w:ascii="Times New Roman" w:hAnsi="Times New Roman" w:cs="Times New Roman"/>
                        </w:rPr>
                        <w:t xml:space="preserve">a société Universal </w:t>
                      </w:r>
                      <w:r w:rsidR="00717DD7">
                        <w:rPr>
                          <w:rFonts w:ascii="Times New Roman" w:hAnsi="Times New Roman" w:cs="Times New Roman"/>
                        </w:rPr>
                        <w:t xml:space="preserve">a interjeté appel. En effet, cette dernière </w:t>
                      </w:r>
                      <w:r w:rsidR="00717DD7" w:rsidRPr="008A1AFD">
                        <w:rPr>
                          <w:rFonts w:ascii="Times New Roman" w:hAnsi="Times New Roman" w:cs="Times New Roman"/>
                        </w:rPr>
                        <w:t xml:space="preserve">s’est prévalue des droits d’exploitation de l’enregistrement qu’elle estimait détenir par </w:t>
                      </w:r>
                      <w:r w:rsidR="00717DD7">
                        <w:rPr>
                          <w:rFonts w:ascii="Times New Roman" w:hAnsi="Times New Roman" w:cs="Times New Roman"/>
                        </w:rPr>
                        <w:t>la</w:t>
                      </w:r>
                      <w:r w:rsidR="00717DD7" w:rsidRPr="008A1AFD">
                        <w:rPr>
                          <w:rFonts w:ascii="Times New Roman" w:hAnsi="Times New Roman" w:cs="Times New Roman"/>
                        </w:rPr>
                        <w:t xml:space="preserve"> conclusion d’un contrat de licence avec l’association organisatrice du concert.</w:t>
                      </w:r>
                    </w:p>
                    <w:p w:rsidR="00717DD7" w:rsidRPr="008A1AFD" w:rsidRDefault="00717DD7" w:rsidP="00CE5F45">
                      <w:pPr>
                        <w:spacing w:line="276" w:lineRule="auto"/>
                        <w:jc w:val="both"/>
                        <w:rPr>
                          <w:rFonts w:ascii="Times New Roman" w:hAnsi="Times New Roman" w:cs="Times New Roman"/>
                        </w:rPr>
                      </w:pPr>
                    </w:p>
                    <w:p w:rsidR="00717DD7" w:rsidRPr="008A1AFD" w:rsidRDefault="00717DD7" w:rsidP="00CE5F45">
                      <w:pPr>
                        <w:spacing w:line="276" w:lineRule="auto"/>
                        <w:jc w:val="both"/>
                        <w:rPr>
                          <w:rFonts w:ascii="Times New Roman" w:hAnsi="Times New Roman" w:cs="Times New Roman"/>
                        </w:rPr>
                      </w:pPr>
                      <w:r w:rsidRPr="00717B26">
                        <w:rPr>
                          <w:rFonts w:ascii="Arial" w:hAnsi="Arial" w:cs="Arial"/>
                          <w:b/>
                          <w:bCs/>
                          <w:sz w:val="18"/>
                          <w:szCs w:val="18"/>
                        </w:rPr>
                        <w:t>PROBLÈME DE DROIT</w:t>
                      </w:r>
                      <w:r w:rsidRPr="00717B26">
                        <w:rPr>
                          <w:rFonts w:ascii="Times New Roman" w:hAnsi="Times New Roman" w:cs="Times New Roman"/>
                          <w:sz w:val="18"/>
                          <w:szCs w:val="18"/>
                        </w:rPr>
                        <w:t> </w:t>
                      </w:r>
                      <w:r w:rsidRPr="008A1AFD">
                        <w:rPr>
                          <w:rFonts w:ascii="Times New Roman" w:hAnsi="Times New Roman" w:cs="Times New Roman"/>
                        </w:rPr>
                        <w:t xml:space="preserve">: </w:t>
                      </w:r>
                      <w:r w:rsidR="00AA1A3E">
                        <w:rPr>
                          <w:rFonts w:ascii="Times New Roman" w:hAnsi="Times New Roman" w:cs="Times New Roman"/>
                        </w:rPr>
                        <w:t>Se pose la question de savoir si l</w:t>
                      </w:r>
                      <w:r w:rsidRPr="008A1AFD">
                        <w:rPr>
                          <w:rFonts w:ascii="Times New Roman" w:hAnsi="Times New Roman" w:cs="Times New Roman"/>
                        </w:rPr>
                        <w:t>a société Universal pouvait</w:t>
                      </w:r>
                      <w:r w:rsidR="00146AC6">
                        <w:rPr>
                          <w:rFonts w:ascii="Times New Roman" w:hAnsi="Times New Roman" w:cs="Times New Roman"/>
                        </w:rPr>
                        <w:t xml:space="preserve"> ou non</w:t>
                      </w:r>
                      <w:r w:rsidRPr="008A1AFD">
                        <w:rPr>
                          <w:rFonts w:ascii="Times New Roman" w:hAnsi="Times New Roman" w:cs="Times New Roman"/>
                        </w:rPr>
                        <w:t xml:space="preserve"> exploiter et commercialiser l’enregistrement d’un concert sans l’autorisation des artistes-interprètes, au seul motif qu’elle détenait un</w:t>
                      </w:r>
                      <w:r>
                        <w:rPr>
                          <w:rFonts w:ascii="Times New Roman" w:hAnsi="Times New Roman" w:cs="Times New Roman"/>
                        </w:rPr>
                        <w:t xml:space="preserve"> contrat de licence </w:t>
                      </w:r>
                      <w:r w:rsidRPr="008A1AFD">
                        <w:rPr>
                          <w:rFonts w:ascii="Times New Roman" w:hAnsi="Times New Roman" w:cs="Times New Roman"/>
                        </w:rPr>
                        <w:t>conclu avec l’association organisatrice du concert</w:t>
                      </w:r>
                      <w:r w:rsidR="00146AC6">
                        <w:rPr>
                          <w:rFonts w:ascii="Times New Roman" w:hAnsi="Times New Roman" w:cs="Times New Roman"/>
                        </w:rPr>
                        <w:t xml:space="preserve">. </w:t>
                      </w:r>
                      <w:r w:rsidRPr="008A1AFD">
                        <w:rPr>
                          <w:rFonts w:ascii="Times New Roman" w:hAnsi="Times New Roman" w:cs="Times New Roman"/>
                        </w:rPr>
                        <w:t xml:space="preserve"> </w:t>
                      </w:r>
                    </w:p>
                    <w:p w:rsidR="00717DD7" w:rsidRPr="008A1AFD" w:rsidRDefault="00717DD7" w:rsidP="00CE5F45">
                      <w:pPr>
                        <w:spacing w:line="276" w:lineRule="auto"/>
                        <w:jc w:val="both"/>
                        <w:rPr>
                          <w:rFonts w:ascii="Times New Roman" w:hAnsi="Times New Roman" w:cs="Times New Roman"/>
                        </w:rPr>
                      </w:pPr>
                    </w:p>
                    <w:p w:rsidR="00717DD7" w:rsidRPr="00272FED" w:rsidRDefault="00717DD7" w:rsidP="00272FED">
                      <w:pPr>
                        <w:spacing w:line="276" w:lineRule="auto"/>
                        <w:jc w:val="both"/>
                        <w:rPr>
                          <w:rFonts w:ascii="Times New Roman" w:hAnsi="Times New Roman" w:cs="Times New Roman"/>
                          <w:color w:val="000000"/>
                        </w:rPr>
                      </w:pPr>
                      <w:r w:rsidRPr="00717B26">
                        <w:rPr>
                          <w:rFonts w:ascii="Arial" w:hAnsi="Arial" w:cs="Arial"/>
                          <w:b/>
                          <w:bCs/>
                          <w:sz w:val="18"/>
                          <w:szCs w:val="18"/>
                        </w:rPr>
                        <w:t>SOLUTION</w:t>
                      </w:r>
                      <w:r w:rsidRPr="00717B26">
                        <w:rPr>
                          <w:rFonts w:ascii="Times New Roman" w:hAnsi="Times New Roman" w:cs="Times New Roman"/>
                          <w:sz w:val="18"/>
                          <w:szCs w:val="18"/>
                        </w:rPr>
                        <w:t> </w:t>
                      </w:r>
                      <w:r w:rsidRPr="008A1AFD">
                        <w:rPr>
                          <w:rFonts w:ascii="Times New Roman" w:hAnsi="Times New Roman" w:cs="Times New Roman"/>
                        </w:rPr>
                        <w:t xml:space="preserve">: </w:t>
                      </w:r>
                      <w:r w:rsidRPr="008A1AFD">
                        <w:rPr>
                          <w:rFonts w:ascii="Times New Roman" w:hAnsi="Times New Roman" w:cs="Times New Roman"/>
                          <w:color w:val="000000"/>
                        </w:rPr>
                        <w:t xml:space="preserve">Par son arrêt du 23 mai 2025, la Cour d’appel de Paris a confirmé </w:t>
                      </w:r>
                      <w:r>
                        <w:rPr>
                          <w:rFonts w:ascii="Times New Roman" w:hAnsi="Times New Roman" w:cs="Times New Roman"/>
                          <w:color w:val="000000"/>
                        </w:rPr>
                        <w:t>que l’exploitation et la commercialisation de l’enregistrement du concert constitu</w:t>
                      </w:r>
                      <w:r w:rsidR="00146AC6">
                        <w:rPr>
                          <w:rFonts w:ascii="Times New Roman" w:hAnsi="Times New Roman" w:cs="Times New Roman"/>
                          <w:color w:val="000000"/>
                        </w:rPr>
                        <w:t>ent</w:t>
                      </w:r>
                      <w:r>
                        <w:rPr>
                          <w:rFonts w:ascii="Times New Roman" w:hAnsi="Times New Roman" w:cs="Times New Roman"/>
                          <w:color w:val="000000"/>
                        </w:rPr>
                        <w:t xml:space="preserve"> bien une atteinte </w:t>
                      </w:r>
                      <w:r w:rsidRPr="008A1AFD">
                        <w:rPr>
                          <w:rFonts w:ascii="Times New Roman" w:hAnsi="Times New Roman" w:cs="Times New Roman"/>
                          <w:color w:val="000000"/>
                        </w:rPr>
                        <w:t>aux droits voisins des artistes-interprètes</w:t>
                      </w:r>
                      <w:r>
                        <w:rPr>
                          <w:rFonts w:ascii="Times New Roman" w:hAnsi="Times New Roman" w:cs="Times New Roman"/>
                          <w:color w:val="000000"/>
                        </w:rPr>
                        <w:t xml:space="preserve">, malgré l’existence du contrat de licence. De plus, la Cour d’appel de Paris a retenu, en infirmant le jugement, </w:t>
                      </w:r>
                      <w:r w:rsidRPr="008A1AFD">
                        <w:rPr>
                          <w:rFonts w:ascii="Times New Roman" w:hAnsi="Times New Roman" w:cs="Times New Roman"/>
                          <w:color w:val="000000"/>
                        </w:rPr>
                        <w:t>deux chefs d’indemnisation distincts</w:t>
                      </w:r>
                      <w:r>
                        <w:rPr>
                          <w:rFonts w:ascii="Times New Roman" w:hAnsi="Times New Roman" w:cs="Times New Roman"/>
                          <w:color w:val="000000"/>
                        </w:rPr>
                        <w:t xml:space="preserve"> : 45.000 euros au titre du préjudice individuel des artistes-interprètes et une condamnation </w:t>
                      </w:r>
                      <w:r w:rsidR="00C80F4B">
                        <w:rPr>
                          <w:rFonts w:ascii="Times New Roman" w:hAnsi="Times New Roman" w:cs="Times New Roman"/>
                          <w:color w:val="000000"/>
                        </w:rPr>
                        <w:t xml:space="preserve">de </w:t>
                      </w:r>
                      <w:r w:rsidRPr="008A1AFD">
                        <w:rPr>
                          <w:rFonts w:ascii="Times New Roman" w:hAnsi="Times New Roman" w:cs="Times New Roman"/>
                          <w:color w:val="000000"/>
                        </w:rPr>
                        <w:t xml:space="preserve">5.000 euros au titre du préjudice collectif subi par la profession, </w:t>
                      </w:r>
                      <w:r>
                        <w:rPr>
                          <w:rFonts w:ascii="Times New Roman" w:hAnsi="Times New Roman" w:cs="Times New Roman"/>
                          <w:color w:val="000000"/>
                        </w:rPr>
                        <w:t>sur requête</w:t>
                      </w:r>
                      <w:r w:rsidRPr="008A1AFD">
                        <w:rPr>
                          <w:rFonts w:ascii="Times New Roman" w:hAnsi="Times New Roman" w:cs="Times New Roman"/>
                          <w:color w:val="000000"/>
                        </w:rPr>
                        <w:t xml:space="preserve"> </w:t>
                      </w:r>
                      <w:r>
                        <w:rPr>
                          <w:rFonts w:ascii="Times New Roman" w:hAnsi="Times New Roman" w:cs="Times New Roman"/>
                          <w:color w:val="000000"/>
                        </w:rPr>
                        <w:t>de</w:t>
                      </w:r>
                      <w:r w:rsidRPr="008A1AFD">
                        <w:rPr>
                          <w:rFonts w:ascii="Times New Roman" w:hAnsi="Times New Roman" w:cs="Times New Roman"/>
                          <w:color w:val="000000"/>
                        </w:rPr>
                        <w:t xml:space="preserve"> la SPEDIDAM.</w:t>
                      </w:r>
                    </w:p>
                    <w:p w:rsidR="00717DD7" w:rsidRDefault="00717DD7"/>
                    <w:p w:rsidR="00717DD7" w:rsidRDefault="00717DD7"/>
                  </w:txbxContent>
                </v:textbox>
              </v:shape>
            </w:pict>
          </mc:Fallback>
        </mc:AlternateContent>
      </w: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Default="00717DD7" w:rsidP="00CE5F45">
      <w:pPr>
        <w:pStyle w:val="NormalWeb"/>
        <w:spacing w:before="0" w:beforeAutospacing="0" w:after="0" w:afterAutospacing="0" w:line="276" w:lineRule="auto"/>
        <w:jc w:val="both"/>
        <w:rPr>
          <w:i/>
          <w:iCs/>
          <w:color w:val="525252" w:themeColor="accent3" w:themeShade="80"/>
        </w:rPr>
      </w:pPr>
    </w:p>
    <w:p w:rsidR="00717DD7" w:rsidRPr="00717DD7" w:rsidRDefault="00717DD7" w:rsidP="00CE5F45">
      <w:pPr>
        <w:spacing w:line="276" w:lineRule="auto"/>
        <w:jc w:val="both"/>
        <w:rPr>
          <w:rFonts w:ascii="Times New Roman" w:hAnsi="Times New Roman" w:cs="Times New Roman"/>
          <w:color w:val="000000"/>
        </w:rPr>
        <w:sectPr w:rsidR="00717DD7" w:rsidRPr="00717DD7" w:rsidSect="00334B22">
          <w:footerReference w:type="default" r:id="rId8"/>
          <w:pgSz w:w="11906" w:h="16838"/>
          <w:pgMar w:top="1020" w:right="1080" w:bottom="962" w:left="1080" w:header="708" w:footer="708" w:gutter="0"/>
          <w:cols w:space="708"/>
          <w:docGrid w:linePitch="360"/>
        </w:sectPr>
      </w:pPr>
    </w:p>
    <w:p w:rsidR="00334B22" w:rsidRDefault="00334B22" w:rsidP="00CE5F45">
      <w:pPr>
        <w:spacing w:line="276" w:lineRule="auto"/>
        <w:jc w:val="both"/>
        <w:rPr>
          <w:rFonts w:ascii="Times New Roman" w:hAnsi="Times New Roman" w:cs="Times New Roman"/>
        </w:rPr>
      </w:pPr>
    </w:p>
    <w:p w:rsidR="00CE5F45" w:rsidRDefault="00CE5F45"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7B05C8" w:rsidRDefault="007B05C8" w:rsidP="00CE5F45">
      <w:pPr>
        <w:spacing w:line="276" w:lineRule="auto"/>
        <w:jc w:val="both"/>
        <w:rPr>
          <w:rFonts w:ascii="Times New Roman" w:hAnsi="Times New Roman" w:cs="Times New Roman"/>
        </w:rPr>
      </w:pPr>
    </w:p>
    <w:p w:rsidR="00CE5F45" w:rsidRDefault="00CE5F45" w:rsidP="00CE5F45">
      <w:pPr>
        <w:spacing w:line="276" w:lineRule="auto"/>
        <w:jc w:val="both"/>
        <w:rPr>
          <w:rFonts w:ascii="Times New Roman" w:hAnsi="Times New Roman" w:cs="Times New Roman"/>
        </w:rPr>
      </w:pPr>
    </w:p>
    <w:p w:rsidR="00CE5F45" w:rsidRDefault="00CE5F45" w:rsidP="00CE5F45">
      <w:pPr>
        <w:spacing w:line="276" w:lineRule="auto"/>
        <w:jc w:val="both"/>
        <w:rPr>
          <w:rFonts w:ascii="Times New Roman" w:hAnsi="Times New Roman" w:cs="Times New Roman"/>
        </w:rPr>
      </w:pPr>
    </w:p>
    <w:p w:rsidR="00CE5F45" w:rsidRDefault="00CE5F45" w:rsidP="00CE5F45">
      <w:pPr>
        <w:spacing w:line="276" w:lineRule="auto"/>
        <w:jc w:val="both"/>
        <w:rPr>
          <w:rFonts w:ascii="Times New Roman" w:hAnsi="Times New Roman" w:cs="Times New Roman"/>
        </w:rPr>
      </w:pPr>
    </w:p>
    <w:p w:rsidR="00CE5F45" w:rsidRDefault="00CE5F45" w:rsidP="00CE5F45">
      <w:pPr>
        <w:spacing w:line="276" w:lineRule="auto"/>
        <w:jc w:val="both"/>
        <w:rPr>
          <w:rFonts w:ascii="Times New Roman" w:hAnsi="Times New Roman" w:cs="Times New Roman"/>
        </w:rPr>
      </w:pPr>
    </w:p>
    <w:p w:rsidR="00CE5F45" w:rsidRDefault="00CE5F45" w:rsidP="00CE5F45">
      <w:pPr>
        <w:spacing w:line="276" w:lineRule="auto"/>
        <w:jc w:val="both"/>
        <w:rPr>
          <w:rFonts w:ascii="Times New Roman" w:hAnsi="Times New Roman" w:cs="Times New Roman"/>
        </w:rPr>
      </w:pPr>
    </w:p>
    <w:p w:rsidR="00CE5F45" w:rsidRDefault="00CE5F45" w:rsidP="00CE5F45">
      <w:pPr>
        <w:spacing w:line="276" w:lineRule="auto"/>
        <w:jc w:val="both"/>
        <w:rPr>
          <w:rFonts w:ascii="Arial" w:eastAsia="Arial Unicode MS" w:hAnsi="Arial" w:cs="Arial"/>
          <w:b/>
          <w:bCs/>
          <w:sz w:val="20"/>
          <w:szCs w:val="20"/>
        </w:rPr>
      </w:pPr>
    </w:p>
    <w:p w:rsidR="007B05C8" w:rsidRDefault="007B05C8" w:rsidP="007B05C8">
      <w:pPr>
        <w:spacing w:line="276" w:lineRule="auto"/>
        <w:rPr>
          <w:rFonts w:ascii="Arial" w:hAnsi="Arial" w:cs="Arial"/>
          <w:b/>
          <w:bCs/>
          <w:sz w:val="20"/>
          <w:szCs w:val="20"/>
        </w:rPr>
        <w:sectPr w:rsidR="007B05C8" w:rsidSect="00DA5A42">
          <w:type w:val="continuous"/>
          <w:pgSz w:w="11906" w:h="16838"/>
          <w:pgMar w:top="1146" w:right="1080" w:bottom="1227" w:left="1080" w:header="708" w:footer="708" w:gutter="0"/>
          <w:cols w:num="2" w:space="708"/>
          <w:docGrid w:linePitch="360"/>
        </w:sectPr>
      </w:pPr>
    </w:p>
    <w:p w:rsidR="007B05C8" w:rsidRPr="008A1AFD" w:rsidRDefault="007B05C8" w:rsidP="007B05C8">
      <w:pPr>
        <w:spacing w:line="276" w:lineRule="auto"/>
        <w:rPr>
          <w:rFonts w:ascii="Times New Roman" w:hAnsi="Times New Roman" w:cs="Times New Roman"/>
        </w:rPr>
      </w:pPr>
      <w:r w:rsidRPr="00717B26">
        <w:rPr>
          <w:rFonts w:ascii="Arial" w:hAnsi="Arial" w:cs="Arial"/>
          <w:b/>
          <w:bCs/>
          <w:sz w:val="18"/>
          <w:szCs w:val="18"/>
        </w:rPr>
        <w:t>SOURCES</w:t>
      </w:r>
      <w:r w:rsidRPr="00717B26">
        <w:rPr>
          <w:rFonts w:ascii="Times New Roman" w:hAnsi="Times New Roman" w:cs="Times New Roman"/>
          <w:sz w:val="18"/>
          <w:szCs w:val="18"/>
        </w:rPr>
        <w:t> </w:t>
      </w:r>
      <w:r w:rsidRPr="008A1AFD">
        <w:rPr>
          <w:rFonts w:ascii="Times New Roman" w:hAnsi="Times New Roman" w:cs="Times New Roman"/>
        </w:rPr>
        <w:t xml:space="preserve">: </w:t>
      </w:r>
    </w:p>
    <w:p w:rsidR="007B05C8" w:rsidRDefault="007B05C8" w:rsidP="007B05C8">
      <w:pPr>
        <w:spacing w:line="276" w:lineRule="auto"/>
        <w:rPr>
          <w:rFonts w:ascii="Times New Roman" w:hAnsi="Times New Roman" w:cs="Times New Roman"/>
        </w:rPr>
        <w:sectPr w:rsidR="007B05C8" w:rsidSect="007B05C8">
          <w:type w:val="continuous"/>
          <w:pgSz w:w="11906" w:h="16838"/>
          <w:pgMar w:top="1146" w:right="1080" w:bottom="1227" w:left="1080" w:header="708" w:footer="708" w:gutter="0"/>
          <w:cols w:space="708"/>
          <w:docGrid w:linePitch="360"/>
        </w:sectPr>
      </w:pPr>
    </w:p>
    <w:p w:rsidR="007B05C8" w:rsidRPr="007B05C8" w:rsidRDefault="007B05C8" w:rsidP="007B05C8">
      <w:pPr>
        <w:spacing w:line="276" w:lineRule="auto"/>
        <w:rPr>
          <w:rFonts w:ascii="Times New Roman" w:hAnsi="Times New Roman" w:cs="Times New Roman"/>
          <w:i/>
          <w:iCs/>
        </w:rPr>
      </w:pPr>
      <w:r w:rsidRPr="008A1AFD">
        <w:rPr>
          <w:rFonts w:ascii="Times New Roman" w:hAnsi="Times New Roman" w:cs="Times New Roman"/>
        </w:rPr>
        <w:t>Communiqué de presse</w:t>
      </w:r>
      <w:r>
        <w:rPr>
          <w:rFonts w:ascii="Times New Roman" w:hAnsi="Times New Roman" w:cs="Times New Roman"/>
        </w:rPr>
        <w:t xml:space="preserve">, </w:t>
      </w:r>
      <w:r w:rsidRPr="001A04D4">
        <w:rPr>
          <w:rFonts w:ascii="Times New Roman" w:hAnsi="Times New Roman" w:cs="Times New Roman"/>
          <w:i/>
          <w:iCs/>
        </w:rPr>
        <w:t>« UNIVERSAL Music France à nouveau condamnée à indemniser la</w:t>
      </w:r>
      <w:r>
        <w:rPr>
          <w:rFonts w:ascii="Times New Roman" w:hAnsi="Times New Roman" w:cs="Times New Roman"/>
          <w:i/>
          <w:iCs/>
        </w:rPr>
        <w:t xml:space="preserve"> </w:t>
      </w:r>
      <w:r w:rsidRPr="001A04D4">
        <w:rPr>
          <w:rFonts w:ascii="Times New Roman" w:hAnsi="Times New Roman" w:cs="Times New Roman"/>
          <w:i/>
          <w:iCs/>
        </w:rPr>
        <w:t>SPEDIDAM »</w:t>
      </w:r>
      <w:r>
        <w:rPr>
          <w:rFonts w:ascii="Times New Roman" w:hAnsi="Times New Roman" w:cs="Times New Roman"/>
        </w:rPr>
        <w:t xml:space="preserve">, SPEDIDAM, 16 octobre 2023, Paris. </w:t>
      </w:r>
    </w:p>
    <w:p w:rsidR="007B05C8" w:rsidRDefault="007B05C8" w:rsidP="007B05C8">
      <w:pPr>
        <w:spacing w:line="276" w:lineRule="auto"/>
        <w:jc w:val="both"/>
        <w:rPr>
          <w:rFonts w:ascii="Times New Roman" w:hAnsi="Times New Roman" w:cs="Times New Roman"/>
          <w:color w:val="303030"/>
          <w:shd w:val="clear" w:color="auto" w:fill="FFFFFF"/>
        </w:rPr>
        <w:sectPr w:rsidR="007B05C8" w:rsidSect="007B05C8">
          <w:type w:val="continuous"/>
          <w:pgSz w:w="11906" w:h="16838"/>
          <w:pgMar w:top="1146" w:right="1080" w:bottom="1227" w:left="1080" w:header="708" w:footer="708" w:gutter="0"/>
          <w:cols w:space="708"/>
          <w:docGrid w:linePitch="360"/>
        </w:sectPr>
      </w:pPr>
    </w:p>
    <w:p w:rsidR="007B05C8" w:rsidRPr="001A04D4" w:rsidRDefault="007B05C8" w:rsidP="007B05C8">
      <w:pPr>
        <w:spacing w:line="276" w:lineRule="auto"/>
        <w:jc w:val="both"/>
        <w:rPr>
          <w:rFonts w:ascii="Times New Roman" w:hAnsi="Times New Roman" w:cs="Times New Roman"/>
        </w:rPr>
      </w:pPr>
      <w:r w:rsidRPr="008A1AFD">
        <w:rPr>
          <w:rFonts w:ascii="Times New Roman" w:hAnsi="Times New Roman" w:cs="Times New Roman"/>
          <w:color w:val="303030"/>
          <w:shd w:val="clear" w:color="auto" w:fill="FFFFFF"/>
        </w:rPr>
        <w:t>Cour d'appel de Paris, Pôle 5 - chambre 1, 11 janvier 2022, n° 20/08973</w:t>
      </w:r>
      <w:r>
        <w:rPr>
          <w:rFonts w:ascii="Times New Roman" w:hAnsi="Times New Roman" w:cs="Times New Roman"/>
          <w:color w:val="303030"/>
          <w:shd w:val="clear" w:color="auto" w:fill="FFFFFF"/>
        </w:rPr>
        <w:t xml:space="preserve">. </w:t>
      </w:r>
    </w:p>
    <w:p w:rsidR="007B05C8" w:rsidRDefault="007B05C8" w:rsidP="00CE5F45">
      <w:pPr>
        <w:spacing w:line="276" w:lineRule="auto"/>
        <w:jc w:val="both"/>
        <w:rPr>
          <w:rFonts w:ascii="Arial" w:eastAsia="Arial Unicode MS" w:hAnsi="Arial" w:cs="Arial"/>
          <w:b/>
          <w:bCs/>
          <w:sz w:val="20"/>
          <w:szCs w:val="20"/>
        </w:rPr>
        <w:sectPr w:rsidR="007B05C8" w:rsidSect="007B05C8">
          <w:type w:val="continuous"/>
          <w:pgSz w:w="11906" w:h="16838"/>
          <w:pgMar w:top="1146" w:right="1080" w:bottom="1227" w:left="1080" w:header="708" w:footer="708" w:gutter="0"/>
          <w:cols w:space="708"/>
          <w:docGrid w:linePitch="360"/>
        </w:sectPr>
      </w:pPr>
    </w:p>
    <w:p w:rsidR="007B05C8" w:rsidRDefault="007B05C8" w:rsidP="00CE5F45">
      <w:pPr>
        <w:spacing w:line="276" w:lineRule="auto"/>
        <w:jc w:val="both"/>
        <w:rPr>
          <w:rFonts w:ascii="Arial" w:eastAsia="Arial Unicode MS" w:hAnsi="Arial" w:cs="Arial"/>
          <w:b/>
          <w:bCs/>
          <w:sz w:val="20"/>
          <w:szCs w:val="20"/>
        </w:rPr>
      </w:pPr>
    </w:p>
    <w:p w:rsidR="00334B22" w:rsidRDefault="00334B22" w:rsidP="00CE5F45">
      <w:pPr>
        <w:spacing w:line="276" w:lineRule="auto"/>
        <w:jc w:val="both"/>
        <w:rPr>
          <w:rFonts w:ascii="Arial Unicode MS" w:eastAsia="Arial Unicode MS" w:hAnsi="Arial Unicode MS" w:cs="Arial Unicode MS"/>
          <w:b/>
          <w:bCs/>
          <w:sz w:val="20"/>
          <w:szCs w:val="20"/>
        </w:rPr>
      </w:pPr>
      <w:r w:rsidRPr="00717B26">
        <w:rPr>
          <w:rFonts w:ascii="Arial" w:eastAsia="Arial Unicode MS" w:hAnsi="Arial" w:cs="Arial"/>
          <w:b/>
          <w:bCs/>
          <w:sz w:val="18"/>
          <w:szCs w:val="18"/>
        </w:rPr>
        <w:t>NOTE</w:t>
      </w:r>
      <w:r w:rsidRPr="00717B26">
        <w:rPr>
          <w:rFonts w:ascii="Arial Unicode MS" w:eastAsia="Arial Unicode MS" w:hAnsi="Arial Unicode MS" w:cs="Arial Unicode MS"/>
          <w:b/>
          <w:bCs/>
          <w:sz w:val="18"/>
          <w:szCs w:val="18"/>
        </w:rPr>
        <w:t> </w:t>
      </w:r>
      <w:r w:rsidRPr="00334B22">
        <w:rPr>
          <w:rFonts w:ascii="Arial" w:eastAsia="Arial Unicode MS" w:hAnsi="Arial" w:cs="Arial"/>
          <w:b/>
          <w:bCs/>
          <w:sz w:val="20"/>
          <w:szCs w:val="20"/>
        </w:rPr>
        <w:t>:</w:t>
      </w:r>
      <w:r w:rsidRPr="00334B22">
        <w:rPr>
          <w:rFonts w:ascii="Arial Unicode MS" w:eastAsia="Arial Unicode MS" w:hAnsi="Arial Unicode MS" w:cs="Arial Unicode MS"/>
          <w:b/>
          <w:bCs/>
          <w:sz w:val="20"/>
          <w:szCs w:val="20"/>
        </w:rPr>
        <w:t xml:space="preserve"> </w:t>
      </w:r>
    </w:p>
    <w:p w:rsidR="004B0312" w:rsidRPr="00B44367" w:rsidRDefault="004B0312" w:rsidP="004B0312">
      <w:pPr>
        <w:jc w:val="both"/>
        <w:rPr>
          <w:rFonts w:ascii="Times New Roman" w:hAnsi="Times New Roman" w:cs="Times New Roman"/>
        </w:rPr>
      </w:pPr>
    </w:p>
    <w:p w:rsidR="004B0312" w:rsidRPr="00B44367" w:rsidRDefault="004B0312" w:rsidP="004B0312">
      <w:pPr>
        <w:spacing w:line="276" w:lineRule="auto"/>
        <w:ind w:firstLine="708"/>
        <w:jc w:val="both"/>
        <w:rPr>
          <w:rFonts w:ascii="Times New Roman" w:hAnsi="Times New Roman" w:cs="Times New Roman"/>
        </w:rPr>
      </w:pPr>
      <w:r w:rsidRPr="00B44367">
        <w:rPr>
          <w:rFonts w:ascii="Times New Roman" w:hAnsi="Times New Roman" w:cs="Times New Roman"/>
          <w:color w:val="000000"/>
        </w:rPr>
        <w:t>Par son arrêt du 23 mai 2025, la Cour d’appel de Paris entérine la condamnation d’Universal pour atteinte aux droits voisins des artistes-interprètes, en rappelant que l’existence d’un contrat de licence ne saurait remplacer l’absence de consentement exprès. Elle réaffirme le rôle central de la SPEDIDAM et l’obligation de vigilance renforcée pesant sur les professionnels du secteur phonographique.</w:t>
      </w:r>
    </w:p>
    <w:p w:rsidR="004B0312" w:rsidRPr="00ED2B23" w:rsidRDefault="004B0312" w:rsidP="00CE5F45">
      <w:pPr>
        <w:spacing w:line="276" w:lineRule="auto"/>
        <w:jc w:val="both"/>
        <w:rPr>
          <w:rFonts w:ascii="Times New Roman" w:eastAsia="Arial Unicode MS" w:hAnsi="Times New Roman" w:cs="Times New Roman"/>
          <w:b/>
          <w:bCs/>
        </w:rPr>
      </w:pPr>
    </w:p>
    <w:p w:rsidR="001F2877" w:rsidRDefault="007B6C9F" w:rsidP="00CE5F45">
      <w:pPr>
        <w:spacing w:line="276" w:lineRule="auto"/>
        <w:jc w:val="both"/>
        <w:rPr>
          <w:rFonts w:ascii="Times New Roman" w:hAnsi="Times New Roman" w:cs="Times New Roman"/>
          <w:b/>
          <w:bCs/>
          <w:i/>
          <w:iCs/>
        </w:rPr>
      </w:pPr>
      <w:r>
        <w:rPr>
          <w:rFonts w:ascii="Times New Roman" w:hAnsi="Times New Roman" w:cs="Times New Roman"/>
          <w:b/>
          <w:bCs/>
          <w:i/>
          <w:iCs/>
        </w:rPr>
        <w:t xml:space="preserve">Dans le prolongement des condamnations d’Universal, une nouvelle sanction de ses pratiques illicites </w:t>
      </w:r>
    </w:p>
    <w:p w:rsidR="009C167D" w:rsidRDefault="009C167D" w:rsidP="00CE5F45">
      <w:pPr>
        <w:spacing w:line="276" w:lineRule="auto"/>
        <w:jc w:val="both"/>
        <w:rPr>
          <w:rFonts w:ascii="Times New Roman" w:hAnsi="Times New Roman" w:cs="Times New Roman"/>
        </w:rPr>
      </w:pPr>
    </w:p>
    <w:p w:rsidR="00E65737" w:rsidRDefault="009C167D" w:rsidP="00CE5F45">
      <w:pPr>
        <w:spacing w:line="276" w:lineRule="auto"/>
        <w:ind w:firstLine="360"/>
        <w:jc w:val="both"/>
        <w:rPr>
          <w:rFonts w:ascii="Times New Roman" w:hAnsi="Times New Roman" w:cs="Times New Roman"/>
        </w:rPr>
      </w:pPr>
      <w:r>
        <w:rPr>
          <w:rFonts w:ascii="Times New Roman" w:hAnsi="Times New Roman" w:cs="Times New Roman"/>
        </w:rPr>
        <w:t>L’arrêt du 23 mai 2025 de la Cour d’appel de Paris confirme le jugement en entérinant que</w:t>
      </w:r>
      <w:r w:rsidR="001F2877" w:rsidRPr="009C167D">
        <w:rPr>
          <w:rFonts w:ascii="Times New Roman" w:hAnsi="Times New Roman" w:cs="Times New Roman"/>
        </w:rPr>
        <w:t xml:space="preserve"> </w:t>
      </w:r>
      <w:r>
        <w:rPr>
          <w:rFonts w:ascii="Times New Roman" w:hAnsi="Times New Roman" w:cs="Times New Roman"/>
        </w:rPr>
        <w:t>l’</w:t>
      </w:r>
      <w:r w:rsidR="001F2877" w:rsidRPr="009C167D">
        <w:rPr>
          <w:rFonts w:ascii="Times New Roman" w:hAnsi="Times New Roman" w:cs="Times New Roman"/>
        </w:rPr>
        <w:t xml:space="preserve">exploitation </w:t>
      </w:r>
      <w:r>
        <w:rPr>
          <w:rFonts w:ascii="Times New Roman" w:hAnsi="Times New Roman" w:cs="Times New Roman"/>
        </w:rPr>
        <w:t xml:space="preserve">litigieuse </w:t>
      </w:r>
      <w:r w:rsidR="001F2877" w:rsidRPr="009C167D">
        <w:rPr>
          <w:rFonts w:ascii="Times New Roman" w:hAnsi="Times New Roman" w:cs="Times New Roman"/>
        </w:rPr>
        <w:t xml:space="preserve">du concert par la </w:t>
      </w:r>
      <w:r w:rsidR="001A04D4">
        <w:rPr>
          <w:rFonts w:ascii="Times New Roman" w:hAnsi="Times New Roman" w:cs="Times New Roman"/>
        </w:rPr>
        <w:t>s</w:t>
      </w:r>
      <w:r>
        <w:rPr>
          <w:rFonts w:ascii="Times New Roman" w:hAnsi="Times New Roman" w:cs="Times New Roman"/>
        </w:rPr>
        <w:t>ociété</w:t>
      </w:r>
      <w:r w:rsidR="001F2877" w:rsidRPr="009C167D">
        <w:rPr>
          <w:rFonts w:ascii="Times New Roman" w:hAnsi="Times New Roman" w:cs="Times New Roman"/>
        </w:rPr>
        <w:t xml:space="preserve"> Universal port</w:t>
      </w:r>
      <w:r>
        <w:rPr>
          <w:rFonts w:ascii="Times New Roman" w:hAnsi="Times New Roman" w:cs="Times New Roman"/>
        </w:rPr>
        <w:t>ait</w:t>
      </w:r>
      <w:r w:rsidR="001F2877" w:rsidRPr="009C167D">
        <w:rPr>
          <w:rFonts w:ascii="Times New Roman" w:hAnsi="Times New Roman" w:cs="Times New Roman"/>
        </w:rPr>
        <w:t xml:space="preserve"> atteinte aux droits voisins des artistes</w:t>
      </w:r>
      <w:r w:rsidR="001A04D4">
        <w:rPr>
          <w:rFonts w:ascii="Times New Roman" w:hAnsi="Times New Roman" w:cs="Times New Roman"/>
        </w:rPr>
        <w:t>-</w:t>
      </w:r>
      <w:r w:rsidR="001F2877" w:rsidRPr="009C167D">
        <w:rPr>
          <w:rFonts w:ascii="Times New Roman" w:hAnsi="Times New Roman" w:cs="Times New Roman"/>
        </w:rPr>
        <w:t>interprètes représentés par la SPEDIDAM</w:t>
      </w:r>
      <w:r>
        <w:rPr>
          <w:rFonts w:ascii="Times New Roman" w:hAnsi="Times New Roman" w:cs="Times New Roman"/>
        </w:rPr>
        <w:t xml:space="preserve">. </w:t>
      </w:r>
    </w:p>
    <w:p w:rsidR="00E65737" w:rsidRDefault="0018431C" w:rsidP="00CE5F45">
      <w:pPr>
        <w:spacing w:line="276" w:lineRule="auto"/>
        <w:ind w:firstLine="360"/>
        <w:jc w:val="both"/>
        <w:rPr>
          <w:rFonts w:ascii="Times New Roman" w:hAnsi="Times New Roman" w:cs="Times New Roman"/>
        </w:rPr>
      </w:pPr>
      <w:r>
        <w:rPr>
          <w:rFonts w:ascii="Times New Roman" w:hAnsi="Times New Roman" w:cs="Times New Roman"/>
        </w:rPr>
        <w:t>Pour cela, la</w:t>
      </w:r>
      <w:r w:rsidR="009C167D">
        <w:rPr>
          <w:rFonts w:ascii="Times New Roman" w:hAnsi="Times New Roman" w:cs="Times New Roman"/>
        </w:rPr>
        <w:t xml:space="preserve"> décision s’inscrit dans l</w:t>
      </w:r>
      <w:r>
        <w:rPr>
          <w:rFonts w:ascii="Times New Roman" w:hAnsi="Times New Roman" w:cs="Times New Roman"/>
        </w:rPr>
        <w:t>’application de la règle issue de l’article L212-3, alinéa 1</w:t>
      </w:r>
      <w:r>
        <w:rPr>
          <w:rFonts w:ascii="Times New Roman" w:hAnsi="Times New Roman" w:cs="Times New Roman"/>
          <w:vertAlign w:val="superscript"/>
        </w:rPr>
        <w:t xml:space="preserve">er </w:t>
      </w:r>
      <w:r>
        <w:rPr>
          <w:rFonts w:ascii="Times New Roman" w:hAnsi="Times New Roman" w:cs="Times New Roman"/>
        </w:rPr>
        <w:t>du Code de propriété intellectuelle (CPI), qui reconnait</w:t>
      </w:r>
      <w:r w:rsidR="009C167D">
        <w:rPr>
          <w:rFonts w:ascii="Times New Roman" w:hAnsi="Times New Roman" w:cs="Times New Roman"/>
        </w:rPr>
        <w:t xml:space="preserve"> que les droits patrimoniaux de </w:t>
      </w:r>
      <w:r w:rsidR="00C86329" w:rsidRPr="009C167D">
        <w:rPr>
          <w:rFonts w:ascii="Times New Roman" w:hAnsi="Times New Roman" w:cs="Times New Roman"/>
        </w:rPr>
        <w:t>l’artiste-interprète</w:t>
      </w:r>
      <w:r>
        <w:rPr>
          <w:rFonts w:ascii="Times New Roman" w:hAnsi="Times New Roman" w:cs="Times New Roman"/>
        </w:rPr>
        <w:t xml:space="preserve"> </w:t>
      </w:r>
      <w:r w:rsidR="00C86329" w:rsidRPr="009C167D">
        <w:rPr>
          <w:rFonts w:ascii="Times New Roman" w:hAnsi="Times New Roman" w:cs="Times New Roman"/>
        </w:rPr>
        <w:t>consistent en un droit d’autoriser ou d’interdire la fixation de sa prestation, sa reproduction, sa communication au public et son utilisation séparée du son et de l’image lorsque ladite prestation a été fixée à la fois pour le son et l’image</w:t>
      </w:r>
      <w:r>
        <w:rPr>
          <w:rFonts w:ascii="Times New Roman" w:hAnsi="Times New Roman" w:cs="Times New Roman"/>
        </w:rPr>
        <w:t xml:space="preserve">. </w:t>
      </w:r>
      <w:r w:rsidR="00334B22">
        <w:rPr>
          <w:rFonts w:ascii="Times New Roman" w:hAnsi="Times New Roman" w:cs="Times New Roman"/>
        </w:rPr>
        <w:t xml:space="preserve">C’est ainsi que la Cour d’appel de Paris </w:t>
      </w:r>
      <w:r w:rsidR="00150098">
        <w:rPr>
          <w:rFonts w:ascii="Times New Roman" w:hAnsi="Times New Roman" w:cs="Times New Roman"/>
        </w:rPr>
        <w:t xml:space="preserve">a </w:t>
      </w:r>
      <w:r w:rsidR="00334B22">
        <w:rPr>
          <w:rFonts w:ascii="Times New Roman" w:hAnsi="Times New Roman" w:cs="Times New Roman"/>
        </w:rPr>
        <w:t xml:space="preserve">reconnu nécessairement illégale l’utilisation secondaire, sans autorisation et sans rémunération des artistes-interprètes, de l’enregistrement par la société Universal. </w:t>
      </w:r>
    </w:p>
    <w:p w:rsidR="00CE5F45" w:rsidRDefault="0018431C" w:rsidP="00CE5F45">
      <w:pPr>
        <w:spacing w:line="276" w:lineRule="auto"/>
        <w:ind w:firstLine="360"/>
        <w:jc w:val="both"/>
        <w:rPr>
          <w:rFonts w:ascii="Times New Roman" w:hAnsi="Times New Roman" w:cs="Times New Roman"/>
        </w:rPr>
      </w:pPr>
      <w:r>
        <w:rPr>
          <w:rFonts w:ascii="Times New Roman" w:hAnsi="Times New Roman" w:cs="Times New Roman"/>
        </w:rPr>
        <w:t xml:space="preserve">De plus, la </w:t>
      </w:r>
      <w:r w:rsidR="00545A1C">
        <w:rPr>
          <w:rFonts w:ascii="Times New Roman" w:hAnsi="Times New Roman" w:cs="Times New Roman"/>
        </w:rPr>
        <w:t xml:space="preserve">décision de </w:t>
      </w:r>
      <w:r>
        <w:rPr>
          <w:rFonts w:ascii="Times New Roman" w:hAnsi="Times New Roman" w:cs="Times New Roman"/>
        </w:rPr>
        <w:t xml:space="preserve">condamnation de l’appelant </w:t>
      </w:r>
      <w:r w:rsidR="00545A1C">
        <w:rPr>
          <w:rFonts w:ascii="Times New Roman" w:hAnsi="Times New Roman" w:cs="Times New Roman"/>
        </w:rPr>
        <w:t>s</w:t>
      </w:r>
      <w:r w:rsidR="00393DBA">
        <w:rPr>
          <w:rFonts w:ascii="Times New Roman" w:hAnsi="Times New Roman" w:cs="Times New Roman"/>
        </w:rPr>
        <w:t xml:space="preserve">’explique par la volonté de la Cour d’appel de mettre en avant la valeur juridique </w:t>
      </w:r>
      <w:r w:rsidR="00E20922" w:rsidRPr="0018431C">
        <w:rPr>
          <w:rFonts w:ascii="Times New Roman" w:hAnsi="Times New Roman" w:cs="Times New Roman"/>
        </w:rPr>
        <w:t xml:space="preserve">de la feuille de présence </w:t>
      </w:r>
      <w:r w:rsidR="00150098">
        <w:rPr>
          <w:rFonts w:ascii="Times New Roman" w:hAnsi="Times New Roman" w:cs="Times New Roman"/>
        </w:rPr>
        <w:t>SPEDIDAM</w:t>
      </w:r>
      <w:r w:rsidR="00393DBA">
        <w:rPr>
          <w:rFonts w:ascii="Times New Roman" w:hAnsi="Times New Roman" w:cs="Times New Roman"/>
        </w:rPr>
        <w:t xml:space="preserve">. </w:t>
      </w:r>
      <w:r w:rsidR="00ED2B23">
        <w:rPr>
          <w:rFonts w:ascii="Times New Roman" w:hAnsi="Times New Roman" w:cs="Times New Roman"/>
        </w:rPr>
        <w:t xml:space="preserve">En l’espèce, cette feuille constitue une preuve de l’accord des artistes-interprètes d’utiliser leur prestation filmée strictement à des fins </w:t>
      </w:r>
      <w:r w:rsidR="00ED2B23">
        <w:rPr>
          <w:rFonts w:ascii="Times New Roman" w:hAnsi="Times New Roman" w:cs="Times New Roman"/>
        </w:rPr>
        <w:t xml:space="preserve">d’archivage. Ces derniers ont d’abord été rémunérés par un CDDU prévoyant l’enregistrement uniquement à des fins d’archivage, sans que la conclusion de ce contrat n’affecte la titularité de leurs droits voisins. Puis, ils ont réaffirmé leur accord à cette fin en signant cette feuille de présence. L’usage de ladite </w:t>
      </w:r>
      <w:r w:rsidR="00393DBA">
        <w:rPr>
          <w:rFonts w:ascii="Times New Roman" w:hAnsi="Times New Roman" w:cs="Times New Roman"/>
        </w:rPr>
        <w:t xml:space="preserve">feuille permet de </w:t>
      </w:r>
      <w:r w:rsidR="00334B22">
        <w:rPr>
          <w:rFonts w:ascii="Times New Roman" w:hAnsi="Times New Roman" w:cs="Times New Roman"/>
        </w:rPr>
        <w:t>déterminer</w:t>
      </w:r>
      <w:r w:rsidR="00E20922" w:rsidRPr="0018431C">
        <w:rPr>
          <w:rFonts w:ascii="Times New Roman" w:hAnsi="Times New Roman" w:cs="Times New Roman"/>
        </w:rPr>
        <w:t xml:space="preserve"> </w:t>
      </w:r>
      <w:r w:rsidR="00393DBA">
        <w:rPr>
          <w:rFonts w:ascii="Times New Roman" w:hAnsi="Times New Roman" w:cs="Times New Roman"/>
        </w:rPr>
        <w:t>le</w:t>
      </w:r>
      <w:r w:rsidR="00E20922" w:rsidRPr="0018431C">
        <w:rPr>
          <w:rFonts w:ascii="Times New Roman" w:hAnsi="Times New Roman" w:cs="Times New Roman"/>
        </w:rPr>
        <w:t xml:space="preserve"> consentement des artistes-interprètes</w:t>
      </w:r>
      <w:r w:rsidR="00393DBA">
        <w:rPr>
          <w:rFonts w:ascii="Times New Roman" w:hAnsi="Times New Roman" w:cs="Times New Roman"/>
        </w:rPr>
        <w:t>. Ainsi, cette décision rappelle</w:t>
      </w:r>
      <w:r w:rsidR="000D4A21" w:rsidRPr="0018431C">
        <w:rPr>
          <w:rFonts w:ascii="Times New Roman" w:hAnsi="Times New Roman" w:cs="Times New Roman"/>
        </w:rPr>
        <w:t xml:space="preserve"> que le consentement des artistes-interprètes doit être explicite et limité à l’usage convenu</w:t>
      </w:r>
      <w:r w:rsidR="00334B22">
        <w:rPr>
          <w:rFonts w:ascii="Times New Roman" w:hAnsi="Times New Roman" w:cs="Times New Roman"/>
        </w:rPr>
        <w:t xml:space="preserve"> prévu dans cette feuille de présence</w:t>
      </w:r>
      <w:r w:rsidR="000D4A21" w:rsidRPr="0018431C">
        <w:rPr>
          <w:rFonts w:ascii="Times New Roman" w:hAnsi="Times New Roman" w:cs="Times New Roman"/>
        </w:rPr>
        <w:t xml:space="preserve">. </w:t>
      </w:r>
      <w:r w:rsidR="00393DBA">
        <w:rPr>
          <w:rFonts w:ascii="Times New Roman" w:hAnsi="Times New Roman" w:cs="Times New Roman"/>
        </w:rPr>
        <w:t xml:space="preserve">Par conséquent, la Cour d’appel de Paris </w:t>
      </w:r>
      <w:r w:rsidR="00D77573">
        <w:rPr>
          <w:rFonts w:ascii="Times New Roman" w:hAnsi="Times New Roman" w:cs="Times New Roman"/>
        </w:rPr>
        <w:t xml:space="preserve">veut </w:t>
      </w:r>
      <w:r w:rsidR="000D4A21" w:rsidRPr="0018431C">
        <w:rPr>
          <w:rFonts w:ascii="Times New Roman" w:hAnsi="Times New Roman" w:cs="Times New Roman"/>
        </w:rPr>
        <w:t>renforcer la sécurité juridique pour</w:t>
      </w:r>
      <w:r w:rsidR="00334B22">
        <w:rPr>
          <w:rFonts w:ascii="Times New Roman" w:hAnsi="Times New Roman" w:cs="Times New Roman"/>
        </w:rPr>
        <w:t xml:space="preserve"> </w:t>
      </w:r>
      <w:r w:rsidR="000D4A21" w:rsidRPr="0018431C">
        <w:rPr>
          <w:rFonts w:ascii="Times New Roman" w:hAnsi="Times New Roman" w:cs="Times New Roman"/>
        </w:rPr>
        <w:t xml:space="preserve">les artistes et limite le risque d’exploitation non autorisée, tout en clarifiant les conditions de preuve du consentement. </w:t>
      </w:r>
      <w:r w:rsidR="00CE5F45">
        <w:rPr>
          <w:rFonts w:ascii="Times New Roman" w:hAnsi="Times New Roman" w:cs="Times New Roman"/>
        </w:rPr>
        <w:tab/>
      </w:r>
    </w:p>
    <w:p w:rsidR="00E65737" w:rsidRPr="00540A06" w:rsidRDefault="00393DBA" w:rsidP="00CE5F45">
      <w:pPr>
        <w:spacing w:line="276" w:lineRule="auto"/>
        <w:ind w:firstLine="360"/>
        <w:jc w:val="both"/>
        <w:rPr>
          <w:rFonts w:ascii="Times New Roman" w:hAnsi="Times New Roman" w:cs="Times New Roman"/>
          <w:color w:val="000000" w:themeColor="text1"/>
        </w:rPr>
      </w:pPr>
      <w:r>
        <w:rPr>
          <w:rFonts w:ascii="Times New Roman" w:hAnsi="Times New Roman" w:cs="Times New Roman"/>
        </w:rPr>
        <w:t xml:space="preserve">Toutefois, dans la défense de la </w:t>
      </w:r>
      <w:r w:rsidR="000676C2">
        <w:rPr>
          <w:rFonts w:ascii="Times New Roman" w:hAnsi="Times New Roman" w:cs="Times New Roman"/>
        </w:rPr>
        <w:t>s</w:t>
      </w:r>
      <w:r>
        <w:rPr>
          <w:rFonts w:ascii="Times New Roman" w:hAnsi="Times New Roman" w:cs="Times New Roman"/>
        </w:rPr>
        <w:t xml:space="preserve">ociété </w:t>
      </w:r>
      <w:r w:rsidR="001F2877" w:rsidRPr="00393DBA">
        <w:rPr>
          <w:rFonts w:ascii="Times New Roman" w:hAnsi="Times New Roman" w:cs="Times New Roman"/>
        </w:rPr>
        <w:t>Universal</w:t>
      </w:r>
      <w:r>
        <w:rPr>
          <w:rFonts w:ascii="Times New Roman" w:hAnsi="Times New Roman" w:cs="Times New Roman"/>
        </w:rPr>
        <w:t>, celle-ci souligne l’</w:t>
      </w:r>
      <w:r w:rsidR="001F2877" w:rsidRPr="00393DBA">
        <w:rPr>
          <w:rFonts w:ascii="Times New Roman" w:hAnsi="Times New Roman" w:cs="Times New Roman"/>
        </w:rPr>
        <w:t>existence d’un contrat de licence</w:t>
      </w:r>
      <w:r>
        <w:rPr>
          <w:rFonts w:ascii="Times New Roman" w:hAnsi="Times New Roman" w:cs="Times New Roman"/>
        </w:rPr>
        <w:t xml:space="preserve">. Dans ce dernier, le producteur </w:t>
      </w:r>
      <w:r w:rsidR="00CD6897" w:rsidRPr="00393DBA">
        <w:rPr>
          <w:rFonts w:ascii="Times New Roman" w:hAnsi="Times New Roman" w:cs="Times New Roman"/>
        </w:rPr>
        <w:t>avait certifié qu’il</w:t>
      </w:r>
      <w:r w:rsidR="00150098">
        <w:rPr>
          <w:rFonts w:ascii="Times New Roman" w:hAnsi="Times New Roman" w:cs="Times New Roman"/>
        </w:rPr>
        <w:t xml:space="preserve"> y</w:t>
      </w:r>
      <w:r>
        <w:rPr>
          <w:rFonts w:ascii="Times New Roman" w:hAnsi="Times New Roman" w:cs="Times New Roman"/>
        </w:rPr>
        <w:t xml:space="preserve"> </w:t>
      </w:r>
      <w:r w:rsidR="00CD6897" w:rsidRPr="00393DBA">
        <w:rPr>
          <w:rFonts w:ascii="Times New Roman" w:hAnsi="Times New Roman" w:cs="Times New Roman"/>
        </w:rPr>
        <w:t>avait respecté</w:t>
      </w:r>
      <w:r>
        <w:rPr>
          <w:rFonts w:ascii="Times New Roman" w:hAnsi="Times New Roman" w:cs="Times New Roman"/>
        </w:rPr>
        <w:t xml:space="preserve"> </w:t>
      </w:r>
      <w:r w:rsidR="00CD6897" w:rsidRPr="00393DBA">
        <w:rPr>
          <w:rFonts w:ascii="Times New Roman" w:hAnsi="Times New Roman" w:cs="Times New Roman"/>
        </w:rPr>
        <w:t>toutes ses obligations légales et contractuelles</w:t>
      </w:r>
      <w:r>
        <w:rPr>
          <w:rFonts w:ascii="Times New Roman" w:hAnsi="Times New Roman" w:cs="Times New Roman"/>
        </w:rPr>
        <w:t>.</w:t>
      </w:r>
      <w:r w:rsidR="00276039">
        <w:rPr>
          <w:rFonts w:ascii="Times New Roman" w:hAnsi="Times New Roman" w:cs="Times New Roman"/>
        </w:rPr>
        <w:t xml:space="preserve"> Dès lors, avec l’existence d</w:t>
      </w:r>
      <w:r w:rsidR="00604E35">
        <w:rPr>
          <w:rFonts w:ascii="Times New Roman" w:hAnsi="Times New Roman" w:cs="Times New Roman"/>
        </w:rPr>
        <w:t>u</w:t>
      </w:r>
      <w:r w:rsidR="00276039">
        <w:rPr>
          <w:rFonts w:ascii="Times New Roman" w:hAnsi="Times New Roman" w:cs="Times New Roman"/>
        </w:rPr>
        <w:t xml:space="preserve"> contrat de licence, Universal certifiait qu’elle avait </w:t>
      </w:r>
      <w:r w:rsidR="00604E35">
        <w:rPr>
          <w:rFonts w:ascii="Times New Roman" w:hAnsi="Times New Roman" w:cs="Times New Roman"/>
        </w:rPr>
        <w:t xml:space="preserve">eu </w:t>
      </w:r>
      <w:r w:rsidR="00276039">
        <w:rPr>
          <w:rFonts w:ascii="Times New Roman" w:hAnsi="Times New Roman" w:cs="Times New Roman"/>
        </w:rPr>
        <w:t xml:space="preserve">l’autorisation </w:t>
      </w:r>
      <w:r w:rsidR="00604E35">
        <w:rPr>
          <w:rFonts w:ascii="Times New Roman" w:hAnsi="Times New Roman" w:cs="Times New Roman"/>
        </w:rPr>
        <w:t xml:space="preserve">d’exploiter l’enregistrement du concert. </w:t>
      </w:r>
      <w:r w:rsidR="00B94FD9">
        <w:rPr>
          <w:rFonts w:ascii="Times New Roman" w:hAnsi="Times New Roman" w:cs="Times New Roman"/>
        </w:rPr>
        <w:t>Par</w:t>
      </w:r>
      <w:r w:rsidR="00604E35">
        <w:rPr>
          <w:rFonts w:ascii="Times New Roman" w:hAnsi="Times New Roman" w:cs="Times New Roman"/>
        </w:rPr>
        <w:t xml:space="preserve"> cette décision, la Cour d’appel rappelle que l</w:t>
      </w:r>
      <w:r w:rsidR="00604E35" w:rsidRPr="00276039">
        <w:rPr>
          <w:rFonts w:ascii="Times New Roman" w:hAnsi="Times New Roman" w:cs="Times New Roman"/>
        </w:rPr>
        <w:t>a liberté de contracter ne peut en aucun cas justifier une exploitation illicite d’une œuvre ou d’une prestation protégée par l</w:t>
      </w:r>
      <w:r w:rsidR="00604E35">
        <w:rPr>
          <w:rFonts w:ascii="Times New Roman" w:hAnsi="Times New Roman" w:cs="Times New Roman"/>
        </w:rPr>
        <w:t>e CPI</w:t>
      </w:r>
      <w:r w:rsidR="00604E35" w:rsidRPr="00540A06">
        <w:rPr>
          <w:rFonts w:ascii="Times New Roman" w:hAnsi="Times New Roman" w:cs="Times New Roman"/>
          <w:color w:val="000000" w:themeColor="text1"/>
        </w:rPr>
        <w:t xml:space="preserve">. </w:t>
      </w:r>
      <w:r w:rsidR="00B94FD9" w:rsidRPr="00540A06">
        <w:rPr>
          <w:rFonts w:ascii="Times New Roman" w:hAnsi="Times New Roman" w:cs="Times New Roman"/>
          <w:color w:val="000000" w:themeColor="text1"/>
        </w:rPr>
        <w:t xml:space="preserve">Cet arrêt illustre ainsi la tension qui peut exister entre la liberté contractuelle et la protection des droits fondamentaux des artistes. </w:t>
      </w:r>
    </w:p>
    <w:p w:rsidR="00E65737" w:rsidRPr="00E65737" w:rsidRDefault="00E65737" w:rsidP="000676C2">
      <w:pPr>
        <w:spacing w:line="276" w:lineRule="auto"/>
        <w:ind w:firstLine="360"/>
        <w:jc w:val="both"/>
        <w:rPr>
          <w:rFonts w:ascii="Times New Roman" w:hAnsi="Times New Roman" w:cs="Times New Roman"/>
        </w:rPr>
      </w:pPr>
      <w:r w:rsidRPr="00540A06">
        <w:rPr>
          <w:rFonts w:ascii="Times New Roman" w:hAnsi="Times New Roman" w:cs="Times New Roman"/>
          <w:color w:val="000000" w:themeColor="text1"/>
        </w:rPr>
        <w:t>Également, à</w:t>
      </w:r>
      <w:r w:rsidR="00B94FD9" w:rsidRPr="00540A06">
        <w:rPr>
          <w:rFonts w:ascii="Times New Roman" w:hAnsi="Times New Roman" w:cs="Times New Roman"/>
          <w:color w:val="000000" w:themeColor="text1"/>
        </w:rPr>
        <w:t xml:space="preserve"> travers cette condamnation d’Universal, la Cour rappelle que le licencié en tant que </w:t>
      </w:r>
      <w:r w:rsidR="00B94FD9" w:rsidRPr="00540A06">
        <w:rPr>
          <w:rFonts w:ascii="Times New Roman" w:hAnsi="Times New Roman" w:cs="Times New Roman"/>
          <w:i/>
          <w:iCs/>
          <w:color w:val="000000" w:themeColor="text1"/>
        </w:rPr>
        <w:t>« professionnel averti </w:t>
      </w:r>
      <w:r w:rsidRPr="00540A06">
        <w:rPr>
          <w:rFonts w:ascii="Times New Roman" w:hAnsi="Times New Roman" w:cs="Times New Roman"/>
          <w:i/>
          <w:iCs/>
          <w:color w:val="000000" w:themeColor="text1"/>
        </w:rPr>
        <w:t xml:space="preserve">du secteur </w:t>
      </w:r>
      <w:r w:rsidR="00B94FD9" w:rsidRPr="00540A06">
        <w:rPr>
          <w:rFonts w:ascii="Times New Roman" w:hAnsi="Times New Roman" w:cs="Times New Roman"/>
          <w:i/>
          <w:iCs/>
          <w:color w:val="000000" w:themeColor="text1"/>
        </w:rPr>
        <w:t>»</w:t>
      </w:r>
      <w:r w:rsidR="00B94FD9" w:rsidRPr="00540A06">
        <w:rPr>
          <w:rFonts w:ascii="Times New Roman" w:hAnsi="Times New Roman" w:cs="Times New Roman"/>
          <w:color w:val="000000" w:themeColor="text1"/>
        </w:rPr>
        <w:t xml:space="preserve"> aurait dû vérifier préalablement l’existence réelle de l’autorisation auprès des artistes-interprètes, malgré l’existence du contrat de licence avec l’organisateur du concert. Elle responsabilise fortement les professionnels de l’industrie</w:t>
      </w:r>
      <w:r w:rsidR="000676C2" w:rsidRPr="00540A06">
        <w:rPr>
          <w:rFonts w:ascii="Times New Roman" w:hAnsi="Times New Roman" w:cs="Times New Roman"/>
          <w:color w:val="000000" w:themeColor="text1"/>
        </w:rPr>
        <w:t xml:space="preserve"> </w:t>
      </w:r>
      <w:r w:rsidR="00B94FD9" w:rsidRPr="00540A06">
        <w:rPr>
          <w:rFonts w:ascii="Times New Roman" w:hAnsi="Times New Roman" w:cs="Times New Roman"/>
          <w:color w:val="000000" w:themeColor="text1"/>
        </w:rPr>
        <w:t xml:space="preserve">phonographique. </w:t>
      </w:r>
      <w:r w:rsidR="00276039" w:rsidRPr="00540A06">
        <w:rPr>
          <w:rFonts w:ascii="Times New Roman" w:hAnsi="Times New Roman" w:cs="Times New Roman"/>
          <w:color w:val="000000" w:themeColor="text1"/>
        </w:rPr>
        <w:t xml:space="preserve">Cette responsabilité </w:t>
      </w:r>
      <w:r w:rsidR="000676C2" w:rsidRPr="00540A06">
        <w:rPr>
          <w:rFonts w:ascii="Times New Roman" w:hAnsi="Times New Roman" w:cs="Times New Roman"/>
          <w:color w:val="000000" w:themeColor="text1"/>
        </w:rPr>
        <w:t xml:space="preserve">qui pèse sur </w:t>
      </w:r>
      <w:r w:rsidR="000676C2">
        <w:rPr>
          <w:rFonts w:ascii="Times New Roman" w:hAnsi="Times New Roman" w:cs="Times New Roman"/>
          <w:color w:val="000000"/>
        </w:rPr>
        <w:t>la société Universal</w:t>
      </w:r>
      <w:r w:rsidR="00276039" w:rsidRPr="00276039">
        <w:rPr>
          <w:rFonts w:ascii="Times New Roman" w:hAnsi="Times New Roman" w:cs="Times New Roman"/>
          <w:color w:val="000000"/>
        </w:rPr>
        <w:t xml:space="preserve"> souligne que l</w:t>
      </w:r>
      <w:r w:rsidR="000676C2">
        <w:rPr>
          <w:rFonts w:ascii="Times New Roman" w:hAnsi="Times New Roman" w:cs="Times New Roman"/>
          <w:color w:val="000000"/>
        </w:rPr>
        <w:t xml:space="preserve">a simple conclusion d’un contrat de licence avec l’association organisatrice du concert ne suffit pas si l’autorisation des </w:t>
      </w:r>
      <w:r w:rsidR="000676C2">
        <w:rPr>
          <w:rFonts w:ascii="Times New Roman" w:hAnsi="Times New Roman" w:cs="Times New Roman"/>
          <w:color w:val="000000"/>
        </w:rPr>
        <w:lastRenderedPageBreak/>
        <w:t xml:space="preserve">artistes-interprètes n’est pas explicité. </w:t>
      </w:r>
      <w:r>
        <w:rPr>
          <w:rFonts w:ascii="Times New Roman" w:hAnsi="Times New Roman" w:cs="Times New Roman"/>
          <w:color w:val="000000"/>
        </w:rPr>
        <w:t xml:space="preserve">Du fait qu’Universal soit un professionnel connaisseur dans la commercialisation des phonogrammes, </w:t>
      </w:r>
      <w:r w:rsidR="000676C2">
        <w:rPr>
          <w:rFonts w:ascii="Times New Roman" w:hAnsi="Times New Roman" w:cs="Times New Roman"/>
          <w:color w:val="000000"/>
        </w:rPr>
        <w:t xml:space="preserve">elle </w:t>
      </w:r>
      <w:r w:rsidR="001F2877" w:rsidRPr="00E65737">
        <w:rPr>
          <w:rFonts w:ascii="Times New Roman" w:hAnsi="Times New Roman" w:cs="Times New Roman"/>
        </w:rPr>
        <w:t>ne pouvait</w:t>
      </w:r>
      <w:r w:rsidR="000676C2">
        <w:rPr>
          <w:rFonts w:ascii="Times New Roman" w:hAnsi="Times New Roman" w:cs="Times New Roman"/>
        </w:rPr>
        <w:t xml:space="preserve"> pas </w:t>
      </w:r>
      <w:r w:rsidR="001F2877" w:rsidRPr="00E65737">
        <w:rPr>
          <w:rFonts w:ascii="Times New Roman" w:hAnsi="Times New Roman" w:cs="Times New Roman"/>
        </w:rPr>
        <w:t xml:space="preserve">se prévaloir </w:t>
      </w:r>
      <w:r w:rsidR="000676C2">
        <w:rPr>
          <w:rFonts w:ascii="Times New Roman" w:hAnsi="Times New Roman" w:cs="Times New Roman"/>
        </w:rPr>
        <w:t>de ce</w:t>
      </w:r>
      <w:r w:rsidR="001F2877" w:rsidRPr="00E65737">
        <w:rPr>
          <w:rFonts w:ascii="Times New Roman" w:hAnsi="Times New Roman" w:cs="Times New Roman"/>
        </w:rPr>
        <w:t xml:space="preserve"> contrat de licence</w:t>
      </w:r>
      <w:r w:rsidR="000676C2">
        <w:rPr>
          <w:rFonts w:ascii="Times New Roman" w:hAnsi="Times New Roman" w:cs="Times New Roman"/>
        </w:rPr>
        <w:t xml:space="preserve"> </w:t>
      </w:r>
      <w:r w:rsidR="001F2877" w:rsidRPr="00E65737">
        <w:rPr>
          <w:rFonts w:ascii="Times New Roman" w:hAnsi="Times New Roman" w:cs="Times New Roman"/>
        </w:rPr>
        <w:t>pour s’affranchir du respect des droits des artistes-interprètes</w:t>
      </w:r>
      <w:r w:rsidR="00CD6897" w:rsidRPr="00E65737">
        <w:rPr>
          <w:rFonts w:ascii="Times New Roman" w:hAnsi="Times New Roman" w:cs="Times New Roman"/>
        </w:rPr>
        <w:t>.</w:t>
      </w:r>
      <w:r>
        <w:rPr>
          <w:rFonts w:ascii="Times New Roman" w:hAnsi="Times New Roman" w:cs="Times New Roman"/>
        </w:rPr>
        <w:t xml:space="preserve"> Cet arrêt</w:t>
      </w:r>
      <w:r w:rsidR="0052582E" w:rsidRPr="00E65737">
        <w:rPr>
          <w:rFonts w:ascii="Times New Roman" w:hAnsi="Times New Roman" w:cs="Times New Roman"/>
        </w:rPr>
        <w:t xml:space="preserve"> renforce l’idée d’une obligation accrue de vigilance des acteurs </w:t>
      </w:r>
      <w:r w:rsidR="000676C2">
        <w:rPr>
          <w:rFonts w:ascii="Times New Roman" w:hAnsi="Times New Roman" w:cs="Times New Roman"/>
        </w:rPr>
        <w:t>professionnels</w:t>
      </w:r>
      <w:r w:rsidR="0052582E" w:rsidRPr="00E65737">
        <w:rPr>
          <w:rFonts w:ascii="Times New Roman" w:hAnsi="Times New Roman" w:cs="Times New Roman"/>
        </w:rPr>
        <w:t xml:space="preserve">, notamment lorsqu’ils exercent une influence dominante dans un secteur créatif. </w:t>
      </w:r>
    </w:p>
    <w:p w:rsidR="000D4A21" w:rsidRDefault="00E65737" w:rsidP="00CE5F45">
      <w:pPr>
        <w:spacing w:line="276" w:lineRule="auto"/>
        <w:ind w:firstLine="360"/>
        <w:jc w:val="both"/>
        <w:rPr>
          <w:rFonts w:ascii="Times New Roman" w:hAnsi="Times New Roman" w:cs="Times New Roman"/>
        </w:rPr>
      </w:pPr>
      <w:r>
        <w:rPr>
          <w:rFonts w:ascii="Times New Roman" w:hAnsi="Times New Roman" w:cs="Times New Roman"/>
        </w:rPr>
        <w:t xml:space="preserve">Par ailleurs, </w:t>
      </w:r>
      <w:r w:rsidR="00717DD7">
        <w:rPr>
          <w:rFonts w:ascii="Times New Roman" w:hAnsi="Times New Roman" w:cs="Times New Roman"/>
        </w:rPr>
        <w:t xml:space="preserve">cette condamnation </w:t>
      </w:r>
      <w:r w:rsidR="000676C2">
        <w:rPr>
          <w:rFonts w:ascii="Times New Roman" w:hAnsi="Times New Roman" w:cs="Times New Roman"/>
        </w:rPr>
        <w:t>ne se justifie</w:t>
      </w:r>
      <w:r w:rsidR="00AA1A3E">
        <w:rPr>
          <w:rFonts w:ascii="Times New Roman" w:hAnsi="Times New Roman" w:cs="Times New Roman"/>
        </w:rPr>
        <w:t xml:space="preserve"> pas </w:t>
      </w:r>
      <w:r w:rsidR="000676C2">
        <w:rPr>
          <w:rFonts w:ascii="Times New Roman" w:hAnsi="Times New Roman" w:cs="Times New Roman"/>
        </w:rPr>
        <w:t>uniquement</w:t>
      </w:r>
      <w:r w:rsidR="00717DD7">
        <w:rPr>
          <w:rFonts w:ascii="Times New Roman" w:hAnsi="Times New Roman" w:cs="Times New Roman"/>
        </w:rPr>
        <w:t xml:space="preserve"> </w:t>
      </w:r>
      <w:r w:rsidR="000676C2">
        <w:rPr>
          <w:rFonts w:ascii="Times New Roman" w:hAnsi="Times New Roman" w:cs="Times New Roman"/>
        </w:rPr>
        <w:t xml:space="preserve">par le manquement de la société </w:t>
      </w:r>
      <w:r w:rsidR="00717DD7">
        <w:rPr>
          <w:rFonts w:ascii="Times New Roman" w:hAnsi="Times New Roman" w:cs="Times New Roman"/>
        </w:rPr>
        <w:t xml:space="preserve">Universal </w:t>
      </w:r>
      <w:r w:rsidR="000676C2">
        <w:rPr>
          <w:rFonts w:ascii="Times New Roman" w:hAnsi="Times New Roman" w:cs="Times New Roman"/>
        </w:rPr>
        <w:t xml:space="preserve">à son </w:t>
      </w:r>
      <w:r w:rsidR="00AA1A3E">
        <w:rPr>
          <w:rFonts w:ascii="Times New Roman" w:hAnsi="Times New Roman" w:cs="Times New Roman"/>
        </w:rPr>
        <w:t xml:space="preserve">devoir de vérifier si le contrat de licence </w:t>
      </w:r>
      <w:r w:rsidR="000676C2">
        <w:rPr>
          <w:rFonts w:ascii="Times New Roman" w:hAnsi="Times New Roman" w:cs="Times New Roman"/>
        </w:rPr>
        <w:t>comportait</w:t>
      </w:r>
      <w:r w:rsidR="00AA1A3E">
        <w:rPr>
          <w:rFonts w:ascii="Times New Roman" w:hAnsi="Times New Roman" w:cs="Times New Roman"/>
        </w:rPr>
        <w:t xml:space="preserve"> l’autorisation des artistes-interprètes</w:t>
      </w:r>
      <w:r w:rsidR="000676C2">
        <w:rPr>
          <w:rFonts w:ascii="Times New Roman" w:hAnsi="Times New Roman" w:cs="Times New Roman"/>
        </w:rPr>
        <w:t xml:space="preserve">, </w:t>
      </w:r>
      <w:r w:rsidR="00AA1A3E">
        <w:rPr>
          <w:rFonts w:ascii="Times New Roman" w:hAnsi="Times New Roman" w:cs="Times New Roman"/>
        </w:rPr>
        <w:t>mais également</w:t>
      </w:r>
      <w:r w:rsidR="000676C2">
        <w:rPr>
          <w:rFonts w:ascii="Times New Roman" w:hAnsi="Times New Roman" w:cs="Times New Roman"/>
        </w:rPr>
        <w:t xml:space="preserve"> par le fait que la société, en tant que </w:t>
      </w:r>
      <w:r w:rsidR="00AA1A3E">
        <w:rPr>
          <w:rFonts w:ascii="Times New Roman" w:hAnsi="Times New Roman" w:cs="Times New Roman"/>
        </w:rPr>
        <w:t>professionnel</w:t>
      </w:r>
      <w:r w:rsidR="000676C2">
        <w:rPr>
          <w:rFonts w:ascii="Times New Roman" w:hAnsi="Times New Roman" w:cs="Times New Roman"/>
        </w:rPr>
        <w:t xml:space="preserve"> expérimenté, </w:t>
      </w:r>
      <w:r w:rsidR="00AA1A3E">
        <w:rPr>
          <w:rFonts w:ascii="Times New Roman" w:hAnsi="Times New Roman" w:cs="Times New Roman"/>
        </w:rPr>
        <w:t xml:space="preserve">a l’habitude </w:t>
      </w:r>
      <w:r w:rsidR="00CD6897" w:rsidRPr="00E65737">
        <w:rPr>
          <w:rFonts w:ascii="Times New Roman" w:hAnsi="Times New Roman" w:cs="Times New Roman"/>
        </w:rPr>
        <w:t xml:space="preserve">de violer </w:t>
      </w:r>
      <w:r w:rsidR="00AA1A3E">
        <w:rPr>
          <w:rFonts w:ascii="Times New Roman" w:hAnsi="Times New Roman" w:cs="Times New Roman"/>
        </w:rPr>
        <w:t xml:space="preserve">volontairement </w:t>
      </w:r>
      <w:r w:rsidR="00CD6897" w:rsidRPr="00E65737">
        <w:rPr>
          <w:rFonts w:ascii="Times New Roman" w:hAnsi="Times New Roman" w:cs="Times New Roman"/>
        </w:rPr>
        <w:t>les droits des artistes</w:t>
      </w:r>
      <w:r w:rsidR="00AA1A3E">
        <w:rPr>
          <w:rFonts w:ascii="Times New Roman" w:hAnsi="Times New Roman" w:cs="Times New Roman"/>
        </w:rPr>
        <w:t>-</w:t>
      </w:r>
      <w:r w:rsidR="00CD6897" w:rsidRPr="00E65737">
        <w:rPr>
          <w:rFonts w:ascii="Times New Roman" w:hAnsi="Times New Roman" w:cs="Times New Roman"/>
        </w:rPr>
        <w:t>interprètes</w:t>
      </w:r>
      <w:r w:rsidR="00AA1A3E">
        <w:rPr>
          <w:rFonts w:ascii="Times New Roman" w:hAnsi="Times New Roman" w:cs="Times New Roman"/>
        </w:rPr>
        <w:t xml:space="preserve">. En effet, la Cour d’appel qualifie ce comportement de la société par une </w:t>
      </w:r>
      <w:r w:rsidR="001F2877" w:rsidRPr="00E65737">
        <w:rPr>
          <w:rFonts w:ascii="Times New Roman" w:hAnsi="Times New Roman" w:cs="Times New Roman"/>
          <w:i/>
          <w:iCs/>
        </w:rPr>
        <w:t>« </w:t>
      </w:r>
      <w:r w:rsidR="00AA1A3E">
        <w:rPr>
          <w:rFonts w:ascii="Times New Roman" w:hAnsi="Times New Roman" w:cs="Times New Roman"/>
          <w:i/>
          <w:iCs/>
        </w:rPr>
        <w:t>v</w:t>
      </w:r>
      <w:r w:rsidR="001F2877" w:rsidRPr="00E65737">
        <w:rPr>
          <w:rFonts w:ascii="Times New Roman" w:hAnsi="Times New Roman" w:cs="Times New Roman"/>
          <w:i/>
          <w:iCs/>
        </w:rPr>
        <w:t>iolation délibérée et persistance »</w:t>
      </w:r>
      <w:r w:rsidR="00D22330">
        <w:rPr>
          <w:rFonts w:ascii="Times New Roman" w:hAnsi="Times New Roman" w:cs="Times New Roman"/>
        </w:rPr>
        <w:t xml:space="preserve">. De fait, la juridiction a constaté qu’Universal avait refusé délibérément de payer 73 euros aux musiciens après plusieurs demandes de la SPEDIDAM. En outre, </w:t>
      </w:r>
      <w:r w:rsidR="001A04D4">
        <w:rPr>
          <w:rFonts w:ascii="Times New Roman" w:hAnsi="Times New Roman" w:cs="Times New Roman"/>
        </w:rPr>
        <w:t>il s’agit de la deuxième condamnation par la Cour d’appel de Paris de la</w:t>
      </w:r>
      <w:r w:rsidR="00D22330">
        <w:rPr>
          <w:rFonts w:ascii="Times New Roman" w:hAnsi="Times New Roman" w:cs="Times New Roman"/>
        </w:rPr>
        <w:t xml:space="preserve"> société Universal </w:t>
      </w:r>
      <w:r w:rsidR="001F2877" w:rsidRPr="00D22330">
        <w:rPr>
          <w:rFonts w:ascii="Times New Roman" w:hAnsi="Times New Roman" w:cs="Times New Roman"/>
        </w:rPr>
        <w:t xml:space="preserve">en </w:t>
      </w:r>
      <w:r w:rsidR="001A04D4">
        <w:rPr>
          <w:rFonts w:ascii="Times New Roman" w:hAnsi="Times New Roman" w:cs="Times New Roman"/>
        </w:rPr>
        <w:t xml:space="preserve">moins de </w:t>
      </w:r>
      <w:r w:rsidR="001F2877" w:rsidRPr="00D22330">
        <w:rPr>
          <w:rFonts w:ascii="Times New Roman" w:hAnsi="Times New Roman" w:cs="Times New Roman"/>
        </w:rPr>
        <w:t>deux ans</w:t>
      </w:r>
      <w:r w:rsidR="001A04D4">
        <w:rPr>
          <w:rFonts w:ascii="Times New Roman" w:hAnsi="Times New Roman" w:cs="Times New Roman"/>
        </w:rPr>
        <w:t xml:space="preserve"> pour atteinte aux droits voisins </w:t>
      </w:r>
      <w:r w:rsidR="001F2877" w:rsidRPr="00D22330">
        <w:rPr>
          <w:rFonts w:ascii="Times New Roman" w:hAnsi="Times New Roman" w:cs="Times New Roman"/>
        </w:rPr>
        <w:t>des artistes-interprètes</w:t>
      </w:r>
      <w:r w:rsidR="001A04D4">
        <w:rPr>
          <w:rFonts w:ascii="Times New Roman" w:hAnsi="Times New Roman" w:cs="Times New Roman"/>
        </w:rPr>
        <w:t xml:space="preserve">. Dans un arrêt du </w:t>
      </w:r>
      <w:r w:rsidR="001F2877" w:rsidRPr="00D22330">
        <w:rPr>
          <w:rFonts w:ascii="Times New Roman" w:hAnsi="Times New Roman" w:cs="Times New Roman"/>
          <w:color w:val="303030"/>
          <w:shd w:val="clear" w:color="auto" w:fill="FFFFFF"/>
        </w:rPr>
        <w:t>11 janvier 2022, n° 20/08973</w:t>
      </w:r>
      <w:r w:rsidR="00334B22">
        <w:rPr>
          <w:rFonts w:ascii="Times New Roman" w:hAnsi="Times New Roman" w:cs="Times New Roman"/>
          <w:color w:val="303030"/>
          <w:shd w:val="clear" w:color="auto" w:fill="FFFFFF"/>
        </w:rPr>
        <w:t xml:space="preserve">, la Cour d’appel de Paris a reconnu responsable la société Universal et imposé une indemnisation supplémentaire pour préjudice moral causé à l’intérêt collectif de la profession des artistes-interprètes après que ladite société ait exploité sans autorisation l’enregistrement du concert de ces artistes. </w:t>
      </w:r>
    </w:p>
    <w:p w:rsidR="001F2877" w:rsidRDefault="001F2877" w:rsidP="00CE5F45">
      <w:pPr>
        <w:spacing w:line="276" w:lineRule="auto"/>
        <w:jc w:val="both"/>
        <w:rPr>
          <w:rFonts w:ascii="Times New Roman" w:hAnsi="Times New Roman" w:cs="Times New Roman"/>
        </w:rPr>
      </w:pPr>
    </w:p>
    <w:p w:rsidR="00723D45" w:rsidRPr="008A1AFD" w:rsidRDefault="00723D45" w:rsidP="00CE5F45">
      <w:pPr>
        <w:spacing w:line="276" w:lineRule="auto"/>
        <w:jc w:val="both"/>
        <w:rPr>
          <w:rFonts w:ascii="Times New Roman" w:hAnsi="Times New Roman" w:cs="Times New Roman"/>
          <w:b/>
          <w:bCs/>
          <w:i/>
          <w:iCs/>
        </w:rPr>
      </w:pPr>
      <w:r w:rsidRPr="008A1AFD">
        <w:rPr>
          <w:rFonts w:ascii="Times New Roman" w:hAnsi="Times New Roman" w:cs="Times New Roman"/>
          <w:b/>
          <w:bCs/>
          <w:i/>
          <w:iCs/>
        </w:rPr>
        <w:t xml:space="preserve">Le rôle de la SPEDIDAM : protéger les droits voisins des artistes-interprètes </w:t>
      </w:r>
    </w:p>
    <w:p w:rsidR="008A1AFD" w:rsidRPr="008A1AFD" w:rsidRDefault="008A1AFD" w:rsidP="00CE5F45">
      <w:pPr>
        <w:spacing w:line="276" w:lineRule="auto"/>
        <w:jc w:val="both"/>
        <w:rPr>
          <w:rFonts w:ascii="Times New Roman" w:hAnsi="Times New Roman" w:cs="Times New Roman"/>
        </w:rPr>
      </w:pPr>
    </w:p>
    <w:p w:rsidR="00CE5F45" w:rsidRDefault="001F2877" w:rsidP="00CE5F45">
      <w:pPr>
        <w:spacing w:line="276" w:lineRule="auto"/>
        <w:ind w:firstLine="360"/>
        <w:jc w:val="both"/>
        <w:rPr>
          <w:rFonts w:ascii="Times New Roman" w:hAnsi="Times New Roman" w:cs="Times New Roman"/>
        </w:rPr>
      </w:pPr>
      <w:r w:rsidRPr="00334B22">
        <w:rPr>
          <w:rFonts w:ascii="Times New Roman" w:hAnsi="Times New Roman" w:cs="Times New Roman"/>
        </w:rPr>
        <w:t xml:space="preserve">La SPEDIDAM </w:t>
      </w:r>
      <w:r w:rsidR="00334B22">
        <w:rPr>
          <w:rFonts w:ascii="Times New Roman" w:hAnsi="Times New Roman" w:cs="Times New Roman"/>
        </w:rPr>
        <w:t xml:space="preserve">est un organisme de gestion </w:t>
      </w:r>
      <w:r w:rsidR="008A1AFD" w:rsidRPr="00334B22">
        <w:rPr>
          <w:rFonts w:ascii="Times New Roman" w:hAnsi="Times New Roman" w:cs="Times New Roman"/>
        </w:rPr>
        <w:t xml:space="preserve">collective </w:t>
      </w:r>
      <w:r w:rsidR="00AD2691" w:rsidRPr="000D4A21">
        <w:rPr>
          <w:rFonts w:ascii="Times New Roman" w:hAnsi="Times New Roman" w:cs="Times New Roman"/>
        </w:rPr>
        <w:t xml:space="preserve">qui </w:t>
      </w:r>
      <w:r w:rsidR="00AD2691">
        <w:rPr>
          <w:rFonts w:ascii="Times New Roman" w:hAnsi="Times New Roman" w:cs="Times New Roman"/>
        </w:rPr>
        <w:t xml:space="preserve">a pour </w:t>
      </w:r>
      <w:r w:rsidR="00150098">
        <w:rPr>
          <w:rFonts w:ascii="Times New Roman" w:hAnsi="Times New Roman" w:cs="Times New Roman"/>
        </w:rPr>
        <w:t>rôle</w:t>
      </w:r>
      <w:r w:rsidR="00AD2691">
        <w:rPr>
          <w:rFonts w:ascii="Times New Roman" w:hAnsi="Times New Roman" w:cs="Times New Roman"/>
        </w:rPr>
        <w:t xml:space="preserve"> de </w:t>
      </w:r>
      <w:r w:rsidR="00AD2691" w:rsidRPr="000D4A21">
        <w:rPr>
          <w:rFonts w:ascii="Times New Roman" w:hAnsi="Times New Roman" w:cs="Times New Roman"/>
        </w:rPr>
        <w:t>protége</w:t>
      </w:r>
      <w:r w:rsidR="00AD2691">
        <w:rPr>
          <w:rFonts w:ascii="Times New Roman" w:hAnsi="Times New Roman" w:cs="Times New Roman"/>
        </w:rPr>
        <w:t xml:space="preserve">r </w:t>
      </w:r>
      <w:r w:rsidR="00AD2691" w:rsidRPr="000D4A21">
        <w:rPr>
          <w:rFonts w:ascii="Times New Roman" w:hAnsi="Times New Roman" w:cs="Times New Roman"/>
        </w:rPr>
        <w:t>les droits des artistes</w:t>
      </w:r>
      <w:r w:rsidR="00AD2691">
        <w:rPr>
          <w:rFonts w:ascii="Times New Roman" w:hAnsi="Times New Roman" w:cs="Times New Roman"/>
        </w:rPr>
        <w:t>-interprètes</w:t>
      </w:r>
      <w:r w:rsidR="00AD2691" w:rsidRPr="000D4A21">
        <w:rPr>
          <w:rFonts w:ascii="Times New Roman" w:hAnsi="Times New Roman" w:cs="Times New Roman"/>
        </w:rPr>
        <w:t xml:space="preserve">. </w:t>
      </w:r>
      <w:r w:rsidR="00AD2691">
        <w:rPr>
          <w:rFonts w:ascii="Times New Roman" w:hAnsi="Times New Roman" w:cs="Times New Roman"/>
        </w:rPr>
        <w:t xml:space="preserve">En effet, elle a </w:t>
      </w:r>
      <w:r w:rsidR="00AD2691" w:rsidRPr="000D4A21">
        <w:rPr>
          <w:rFonts w:ascii="Times New Roman" w:hAnsi="Times New Roman" w:cs="Times New Roman"/>
        </w:rPr>
        <w:t>un</w:t>
      </w:r>
      <w:r w:rsidR="00AD2691" w:rsidRPr="000D4A21">
        <w:rPr>
          <w:rStyle w:val="apple-converted-space"/>
          <w:rFonts w:ascii="Times New Roman" w:hAnsi="Times New Roman" w:cs="Times New Roman"/>
        </w:rPr>
        <w:t> </w:t>
      </w:r>
      <w:r w:rsidR="00AD2691" w:rsidRPr="000D4A21">
        <w:rPr>
          <w:rStyle w:val="lev"/>
          <w:rFonts w:ascii="Times New Roman" w:hAnsi="Times New Roman" w:cs="Times New Roman"/>
          <w:b w:val="0"/>
          <w:bCs w:val="0"/>
        </w:rPr>
        <w:t>rôle légal et statutaire</w:t>
      </w:r>
      <w:r w:rsidR="00AD2691" w:rsidRPr="000D4A21">
        <w:rPr>
          <w:rStyle w:val="apple-converted-space"/>
          <w:rFonts w:ascii="Times New Roman" w:hAnsi="Times New Roman" w:cs="Times New Roman"/>
        </w:rPr>
        <w:t> </w:t>
      </w:r>
      <w:r w:rsidR="00AD2691" w:rsidRPr="000D4A21">
        <w:rPr>
          <w:rFonts w:ascii="Times New Roman" w:hAnsi="Times New Roman" w:cs="Times New Roman"/>
        </w:rPr>
        <w:t xml:space="preserve">pour défendre l’intérêt </w:t>
      </w:r>
      <w:r w:rsidR="00AD2691" w:rsidRPr="000D4A21">
        <w:rPr>
          <w:rFonts w:ascii="Times New Roman" w:hAnsi="Times New Roman" w:cs="Times New Roman"/>
        </w:rPr>
        <w:t>collectif des artistes</w:t>
      </w:r>
      <w:r w:rsidR="00AD2691">
        <w:rPr>
          <w:rFonts w:ascii="Times New Roman" w:hAnsi="Times New Roman" w:cs="Times New Roman"/>
        </w:rPr>
        <w:t>-interprètes</w:t>
      </w:r>
      <w:r w:rsidR="00AD2691" w:rsidRPr="000D4A21">
        <w:rPr>
          <w:rFonts w:ascii="Times New Roman" w:hAnsi="Times New Roman" w:cs="Times New Roman"/>
        </w:rPr>
        <w:t xml:space="preserve"> et assurer la collecte et la redistribution des </w:t>
      </w:r>
      <w:r w:rsidR="00AD2691">
        <w:rPr>
          <w:rFonts w:ascii="Times New Roman" w:hAnsi="Times New Roman" w:cs="Times New Roman"/>
        </w:rPr>
        <w:t xml:space="preserve">droits-voisins. </w:t>
      </w:r>
    </w:p>
    <w:p w:rsidR="00CD6897" w:rsidRPr="00AD2691" w:rsidRDefault="00CE5F45" w:rsidP="00CE5F45">
      <w:pPr>
        <w:spacing w:line="276" w:lineRule="auto"/>
        <w:ind w:firstLine="360"/>
        <w:jc w:val="both"/>
        <w:rPr>
          <w:rFonts w:ascii="Times New Roman" w:hAnsi="Times New Roman" w:cs="Times New Roman"/>
        </w:rPr>
      </w:pPr>
      <w:r>
        <w:rPr>
          <w:rFonts w:ascii="Times New Roman" w:hAnsi="Times New Roman" w:cs="Times New Roman"/>
        </w:rPr>
        <w:t xml:space="preserve">Dans cet arrêt, la Cour d’appel de Paris infirme le jugement pour séparer les deux </w:t>
      </w:r>
      <w:r w:rsidR="00CD6897" w:rsidRPr="00AD2691">
        <w:rPr>
          <w:rFonts w:ascii="Times New Roman" w:hAnsi="Times New Roman" w:cs="Times New Roman"/>
        </w:rPr>
        <w:t>chefs d’indemnisation</w:t>
      </w:r>
      <w:r>
        <w:rPr>
          <w:rFonts w:ascii="Times New Roman" w:hAnsi="Times New Roman" w:cs="Times New Roman"/>
        </w:rPr>
        <w:t xml:space="preserve"> qui était l’une des requêtes de la SPEDIDAM. </w:t>
      </w:r>
      <w:r w:rsidR="002C2F66" w:rsidRPr="00AD2691">
        <w:rPr>
          <w:rFonts w:ascii="Times New Roman" w:hAnsi="Times New Roman" w:cs="Times New Roman"/>
        </w:rPr>
        <w:t xml:space="preserve">Cette distinction entre ces </w:t>
      </w:r>
      <w:r>
        <w:rPr>
          <w:rFonts w:ascii="Times New Roman" w:hAnsi="Times New Roman" w:cs="Times New Roman"/>
        </w:rPr>
        <w:t>deux</w:t>
      </w:r>
      <w:r w:rsidR="002C2F66" w:rsidRPr="00AD2691">
        <w:rPr>
          <w:rFonts w:ascii="Times New Roman" w:hAnsi="Times New Roman" w:cs="Times New Roman"/>
        </w:rPr>
        <w:t xml:space="preserve"> préjudices consolide la place de</w:t>
      </w:r>
      <w:r>
        <w:rPr>
          <w:rFonts w:ascii="Times New Roman" w:hAnsi="Times New Roman" w:cs="Times New Roman"/>
        </w:rPr>
        <w:t xml:space="preserve"> cet organisme </w:t>
      </w:r>
      <w:r w:rsidR="002C2F66" w:rsidRPr="00AD2691">
        <w:rPr>
          <w:rFonts w:ascii="Times New Roman" w:hAnsi="Times New Roman" w:cs="Times New Roman"/>
        </w:rPr>
        <w:t xml:space="preserve">dans la protection effective des droits voisins. </w:t>
      </w:r>
      <w:r>
        <w:rPr>
          <w:rFonts w:ascii="Times New Roman" w:hAnsi="Times New Roman" w:cs="Times New Roman"/>
        </w:rPr>
        <w:t xml:space="preserve">Ainsi, la juridiction </w:t>
      </w:r>
      <w:r w:rsidR="002C2F66" w:rsidRPr="00AD2691">
        <w:rPr>
          <w:rFonts w:ascii="Times New Roman" w:hAnsi="Times New Roman" w:cs="Times New Roman"/>
        </w:rPr>
        <w:t xml:space="preserve">valorise la dimension solidaire et structurelle de ces organismes en opposition à une logique purement économique. C’est donc une lecture pédagogique et dissuasive de la réparation. Elle ne se limite pas à un calcul économique mais </w:t>
      </w:r>
      <w:r w:rsidR="0088591E">
        <w:rPr>
          <w:rFonts w:ascii="Times New Roman" w:hAnsi="Times New Roman" w:cs="Times New Roman"/>
        </w:rPr>
        <w:t>met en lumière</w:t>
      </w:r>
      <w:r w:rsidR="002C2F66" w:rsidRPr="00AD2691">
        <w:rPr>
          <w:rFonts w:ascii="Times New Roman" w:hAnsi="Times New Roman" w:cs="Times New Roman"/>
        </w:rPr>
        <w:t xml:space="preserve"> une fonction morale et exemplaire du dommage</w:t>
      </w:r>
      <w:r w:rsidR="00E20922" w:rsidRPr="00AD2691">
        <w:rPr>
          <w:rFonts w:ascii="Times New Roman" w:hAnsi="Times New Roman" w:cs="Times New Roman"/>
        </w:rPr>
        <w:t xml:space="preserve"> visant à responsabiliser les </w:t>
      </w:r>
      <w:r w:rsidR="0088591E">
        <w:rPr>
          <w:rFonts w:ascii="Times New Roman" w:hAnsi="Times New Roman" w:cs="Times New Roman"/>
        </w:rPr>
        <w:t>principaux acteurs professionnels</w:t>
      </w:r>
      <w:r w:rsidR="00E20922" w:rsidRPr="00AD2691">
        <w:rPr>
          <w:rFonts w:ascii="Times New Roman" w:hAnsi="Times New Roman" w:cs="Times New Roman"/>
        </w:rPr>
        <w:t xml:space="preserve"> du secteur</w:t>
      </w:r>
      <w:r w:rsidR="0088591E">
        <w:rPr>
          <w:rFonts w:ascii="Times New Roman" w:hAnsi="Times New Roman" w:cs="Times New Roman"/>
        </w:rPr>
        <w:t xml:space="preserve"> phonographique</w:t>
      </w:r>
      <w:r w:rsidR="00E20922" w:rsidRPr="00AD2691">
        <w:rPr>
          <w:rFonts w:ascii="Times New Roman" w:hAnsi="Times New Roman" w:cs="Times New Roman"/>
        </w:rPr>
        <w:t xml:space="preserve">. </w:t>
      </w:r>
    </w:p>
    <w:p w:rsidR="00CD6897" w:rsidRDefault="0088591E" w:rsidP="008026A3">
      <w:pPr>
        <w:spacing w:line="276" w:lineRule="auto"/>
        <w:ind w:firstLine="360"/>
        <w:jc w:val="both"/>
        <w:rPr>
          <w:rFonts w:ascii="Times New Roman" w:hAnsi="Times New Roman" w:cs="Times New Roman"/>
        </w:rPr>
      </w:pPr>
      <w:r>
        <w:rPr>
          <w:rFonts w:ascii="Times New Roman" w:hAnsi="Times New Roman" w:cs="Times New Roman"/>
        </w:rPr>
        <w:t xml:space="preserve">Tout d’abord, </w:t>
      </w:r>
      <w:r w:rsidR="00EC4657">
        <w:rPr>
          <w:rFonts w:ascii="Times New Roman" w:hAnsi="Times New Roman" w:cs="Times New Roman"/>
        </w:rPr>
        <w:t xml:space="preserve">s’agissant du préjudice individuel, la société Universal soutenait qu’elle ne devait verser d’une fraction de la redevance, calculée au </w:t>
      </w:r>
      <w:r w:rsidR="00EC4657" w:rsidRPr="00EC4657">
        <w:rPr>
          <w:rFonts w:ascii="Times New Roman" w:hAnsi="Times New Roman" w:cs="Times New Roman"/>
          <w:i/>
          <w:iCs/>
        </w:rPr>
        <w:t xml:space="preserve">prorata </w:t>
      </w:r>
      <w:proofErr w:type="spellStart"/>
      <w:r w:rsidR="00EC4657" w:rsidRPr="00EC4657">
        <w:rPr>
          <w:rFonts w:ascii="Times New Roman" w:hAnsi="Times New Roman" w:cs="Times New Roman"/>
          <w:i/>
          <w:iCs/>
        </w:rPr>
        <w:t>temporis</w:t>
      </w:r>
      <w:proofErr w:type="spellEnd"/>
      <w:r w:rsidR="00EC4657">
        <w:rPr>
          <w:rFonts w:ascii="Times New Roman" w:hAnsi="Times New Roman" w:cs="Times New Roman"/>
        </w:rPr>
        <w:t xml:space="preserve"> de </w:t>
      </w:r>
      <w:r>
        <w:rPr>
          <w:rFonts w:ascii="Times New Roman" w:hAnsi="Times New Roman" w:cs="Times New Roman"/>
        </w:rPr>
        <w:t xml:space="preserve">la </w:t>
      </w:r>
      <w:r w:rsidR="00EC4657">
        <w:rPr>
          <w:rFonts w:ascii="Times New Roman" w:hAnsi="Times New Roman" w:cs="Times New Roman"/>
        </w:rPr>
        <w:t xml:space="preserve">durée légale de 70 ans de protection de l’exploitation des interprétations. Pour Universal, l’indemnisation réclamée par la SPEDIDAM était injuste </w:t>
      </w:r>
      <w:r w:rsidR="00AF106B">
        <w:rPr>
          <w:rFonts w:ascii="Times New Roman" w:hAnsi="Times New Roman" w:cs="Times New Roman"/>
        </w:rPr>
        <w:t xml:space="preserve">car </w:t>
      </w:r>
      <w:r w:rsidR="00EC4657">
        <w:rPr>
          <w:rFonts w:ascii="Times New Roman" w:hAnsi="Times New Roman" w:cs="Times New Roman"/>
        </w:rPr>
        <w:t>elle ne tenait pas compte du fait que l’exploitation était prévue dans un contrat de licence d’une durée de cinq ans et d</w:t>
      </w:r>
      <w:r w:rsidR="00AF106B">
        <w:rPr>
          <w:rFonts w:ascii="Times New Roman" w:hAnsi="Times New Roman" w:cs="Times New Roman"/>
        </w:rPr>
        <w:t xml:space="preserve">e </w:t>
      </w:r>
      <w:r w:rsidR="00477F15">
        <w:rPr>
          <w:rFonts w:ascii="Times New Roman" w:hAnsi="Times New Roman" w:cs="Times New Roman"/>
        </w:rPr>
        <w:t>son caractère non exclusif</w:t>
      </w:r>
      <w:r w:rsidR="00EC4657">
        <w:rPr>
          <w:rFonts w:ascii="Times New Roman" w:hAnsi="Times New Roman" w:cs="Times New Roman"/>
        </w:rPr>
        <w:t xml:space="preserve">. Toutefois, la Cour d’appel de Paris </w:t>
      </w:r>
      <w:r w:rsidR="008026A3">
        <w:rPr>
          <w:rFonts w:ascii="Times New Roman" w:hAnsi="Times New Roman" w:cs="Times New Roman"/>
        </w:rPr>
        <w:t xml:space="preserve">a accordé une indemnisation à la SPEDIDAM sur le fondement </w:t>
      </w:r>
      <w:r w:rsidR="00CD6897" w:rsidRPr="00CD6897">
        <w:rPr>
          <w:rFonts w:ascii="Times New Roman" w:hAnsi="Times New Roman" w:cs="Times New Roman"/>
        </w:rPr>
        <w:t>de l’art</w:t>
      </w:r>
      <w:r>
        <w:rPr>
          <w:rFonts w:ascii="Times New Roman" w:hAnsi="Times New Roman" w:cs="Times New Roman"/>
        </w:rPr>
        <w:t xml:space="preserve">icle </w:t>
      </w:r>
      <w:r w:rsidR="004B0312">
        <w:rPr>
          <w:rFonts w:ascii="Times New Roman" w:hAnsi="Times New Roman" w:cs="Times New Roman"/>
        </w:rPr>
        <w:t>L</w:t>
      </w:r>
      <w:r w:rsidR="00CD6897" w:rsidRPr="00CD6897">
        <w:rPr>
          <w:rFonts w:ascii="Times New Roman" w:hAnsi="Times New Roman" w:cs="Times New Roman"/>
        </w:rPr>
        <w:t xml:space="preserve">331-1-3 </w:t>
      </w:r>
      <w:r>
        <w:rPr>
          <w:rFonts w:ascii="Times New Roman" w:hAnsi="Times New Roman" w:cs="Times New Roman"/>
        </w:rPr>
        <w:t xml:space="preserve">du </w:t>
      </w:r>
      <w:r w:rsidR="00CD6897" w:rsidRPr="00CD6897">
        <w:rPr>
          <w:rFonts w:ascii="Times New Roman" w:hAnsi="Times New Roman" w:cs="Times New Roman"/>
        </w:rPr>
        <w:t>CPI</w:t>
      </w:r>
      <w:r>
        <w:rPr>
          <w:rFonts w:ascii="Times New Roman" w:hAnsi="Times New Roman" w:cs="Times New Roman"/>
        </w:rPr>
        <w:t xml:space="preserve">. La Cour d’appel de Paris </w:t>
      </w:r>
      <w:r w:rsidR="004B0312">
        <w:rPr>
          <w:rFonts w:ascii="Times New Roman" w:hAnsi="Times New Roman" w:cs="Times New Roman"/>
        </w:rPr>
        <w:t>a écarté l’application du</w:t>
      </w:r>
      <w:r w:rsidR="00CD6897" w:rsidRPr="00CD6897">
        <w:rPr>
          <w:rFonts w:ascii="Times New Roman" w:hAnsi="Times New Roman" w:cs="Times New Roman"/>
        </w:rPr>
        <w:t xml:space="preserve"> barème standard de calcul </w:t>
      </w:r>
      <w:r>
        <w:rPr>
          <w:rFonts w:ascii="Times New Roman" w:hAnsi="Times New Roman" w:cs="Times New Roman"/>
        </w:rPr>
        <w:t xml:space="preserve">de </w:t>
      </w:r>
      <w:r w:rsidR="008026A3">
        <w:rPr>
          <w:rFonts w:ascii="Times New Roman" w:hAnsi="Times New Roman" w:cs="Times New Roman"/>
        </w:rPr>
        <w:t xml:space="preserve">la </w:t>
      </w:r>
      <w:r>
        <w:rPr>
          <w:rFonts w:ascii="Times New Roman" w:hAnsi="Times New Roman" w:cs="Times New Roman"/>
        </w:rPr>
        <w:t xml:space="preserve">SPEDIDAM </w:t>
      </w:r>
      <w:r w:rsidR="00CD6897" w:rsidRPr="00CD6897">
        <w:rPr>
          <w:rFonts w:ascii="Times New Roman" w:hAnsi="Times New Roman" w:cs="Times New Roman"/>
        </w:rPr>
        <w:t xml:space="preserve">pour </w:t>
      </w:r>
      <w:r>
        <w:rPr>
          <w:rFonts w:ascii="Times New Roman" w:hAnsi="Times New Roman" w:cs="Times New Roman"/>
        </w:rPr>
        <w:t>ce préjudice. Ainsi, elle fixe une indemnisation à une valeur forfaitaire de 45. 000 euros</w:t>
      </w:r>
      <w:r w:rsidR="00CD6897" w:rsidRPr="00CD6897">
        <w:rPr>
          <w:rFonts w:ascii="Times New Roman" w:hAnsi="Times New Roman" w:cs="Times New Roman"/>
        </w:rPr>
        <w:t xml:space="preserve"> </w:t>
      </w:r>
      <w:r>
        <w:rPr>
          <w:rFonts w:ascii="Times New Roman" w:hAnsi="Times New Roman" w:cs="Times New Roman"/>
        </w:rPr>
        <w:t xml:space="preserve">en prenant en compte les conséquences </w:t>
      </w:r>
      <w:r w:rsidR="00CD6897" w:rsidRPr="00CD6897">
        <w:rPr>
          <w:rFonts w:ascii="Times New Roman" w:hAnsi="Times New Roman" w:cs="Times New Roman"/>
        </w:rPr>
        <w:t xml:space="preserve">économiques négatives, </w:t>
      </w:r>
      <w:r>
        <w:rPr>
          <w:rFonts w:ascii="Times New Roman" w:hAnsi="Times New Roman" w:cs="Times New Roman"/>
        </w:rPr>
        <w:t xml:space="preserve">le </w:t>
      </w:r>
      <w:r w:rsidR="00CD6897" w:rsidRPr="00CD6897">
        <w:rPr>
          <w:rFonts w:ascii="Times New Roman" w:hAnsi="Times New Roman" w:cs="Times New Roman"/>
        </w:rPr>
        <w:t>préjudice moral</w:t>
      </w:r>
      <w:r>
        <w:rPr>
          <w:rFonts w:ascii="Times New Roman" w:hAnsi="Times New Roman" w:cs="Times New Roman"/>
        </w:rPr>
        <w:t xml:space="preserve"> ainsi que les </w:t>
      </w:r>
      <w:r w:rsidR="00CD6897" w:rsidRPr="00CD6897">
        <w:rPr>
          <w:rFonts w:ascii="Times New Roman" w:hAnsi="Times New Roman" w:cs="Times New Roman"/>
        </w:rPr>
        <w:t xml:space="preserve">bénéfices réalisés par la </w:t>
      </w:r>
      <w:r>
        <w:rPr>
          <w:rFonts w:ascii="Times New Roman" w:hAnsi="Times New Roman" w:cs="Times New Roman"/>
        </w:rPr>
        <w:t xml:space="preserve">société Universal </w:t>
      </w:r>
      <w:r w:rsidR="008026A3">
        <w:rPr>
          <w:rFonts w:ascii="Times New Roman" w:hAnsi="Times New Roman" w:cs="Times New Roman"/>
        </w:rPr>
        <w:t>grâce</w:t>
      </w:r>
      <w:r>
        <w:rPr>
          <w:rFonts w:ascii="Times New Roman" w:hAnsi="Times New Roman" w:cs="Times New Roman"/>
        </w:rPr>
        <w:t xml:space="preserve"> à l’exploitation et la commercialisation de l’enregistrement. De plus, la </w:t>
      </w:r>
      <w:r w:rsidR="00CD6897" w:rsidRPr="00CD6897">
        <w:rPr>
          <w:rFonts w:ascii="Times New Roman" w:hAnsi="Times New Roman" w:cs="Times New Roman"/>
        </w:rPr>
        <w:t xml:space="preserve">somme </w:t>
      </w:r>
      <w:r>
        <w:rPr>
          <w:rFonts w:ascii="Times New Roman" w:hAnsi="Times New Roman" w:cs="Times New Roman"/>
        </w:rPr>
        <w:t xml:space="preserve">finale </w:t>
      </w:r>
      <w:r w:rsidR="00CD6897" w:rsidRPr="00CD6897">
        <w:rPr>
          <w:rFonts w:ascii="Times New Roman" w:hAnsi="Times New Roman" w:cs="Times New Roman"/>
        </w:rPr>
        <w:t xml:space="preserve">allouée </w:t>
      </w:r>
      <w:r>
        <w:rPr>
          <w:rFonts w:ascii="Times New Roman" w:hAnsi="Times New Roman" w:cs="Times New Roman"/>
        </w:rPr>
        <w:t>était dans l’obligation d’être</w:t>
      </w:r>
      <w:r w:rsidR="00CD6897" w:rsidRPr="00CD6897">
        <w:rPr>
          <w:rFonts w:ascii="Times New Roman" w:hAnsi="Times New Roman" w:cs="Times New Roman"/>
        </w:rPr>
        <w:t xml:space="preserve"> supérieure au montant des droits qui auraient été dus en cas d’autorisation</w:t>
      </w:r>
      <w:r>
        <w:rPr>
          <w:rFonts w:ascii="Times New Roman" w:hAnsi="Times New Roman" w:cs="Times New Roman"/>
        </w:rPr>
        <w:t xml:space="preserve">. </w:t>
      </w:r>
    </w:p>
    <w:p w:rsidR="007C606E" w:rsidRPr="00CE5F45" w:rsidRDefault="008026A3" w:rsidP="007C606E">
      <w:pPr>
        <w:spacing w:line="276" w:lineRule="auto"/>
        <w:jc w:val="both"/>
        <w:rPr>
          <w:rFonts w:ascii="Times New Roman" w:hAnsi="Times New Roman" w:cs="Times New Roman"/>
        </w:rPr>
        <w:sectPr w:rsidR="007C606E" w:rsidRPr="00CE5F45" w:rsidSect="00DA5A42">
          <w:type w:val="continuous"/>
          <w:pgSz w:w="11906" w:h="16838"/>
          <w:pgMar w:top="1146" w:right="1080" w:bottom="1227" w:left="1080" w:header="708" w:footer="708" w:gutter="0"/>
          <w:cols w:num="2" w:space="708"/>
          <w:docGrid w:linePitch="360"/>
        </w:sectPr>
      </w:pPr>
      <w:r>
        <w:rPr>
          <w:rFonts w:ascii="Times New Roman" w:hAnsi="Times New Roman" w:cs="Times New Roman"/>
        </w:rPr>
        <w:lastRenderedPageBreak/>
        <w:tab/>
        <w:t xml:space="preserve">En outre, </w:t>
      </w:r>
      <w:r w:rsidR="007C606E">
        <w:rPr>
          <w:rFonts w:ascii="Times New Roman" w:hAnsi="Times New Roman" w:cs="Times New Roman"/>
        </w:rPr>
        <w:t xml:space="preserve">la Cour d’appel a reconnu </w:t>
      </w:r>
      <w:r w:rsidR="007C606E" w:rsidRPr="00CE5F45">
        <w:rPr>
          <w:rFonts w:ascii="Times New Roman" w:hAnsi="Times New Roman" w:cs="Times New Roman"/>
        </w:rPr>
        <w:t xml:space="preserve">que l’exploitation non autorisée </w:t>
      </w:r>
      <w:r w:rsidR="007C606E">
        <w:rPr>
          <w:rFonts w:ascii="Times New Roman" w:hAnsi="Times New Roman" w:cs="Times New Roman"/>
        </w:rPr>
        <w:t>de l’</w:t>
      </w:r>
      <w:r w:rsidR="007C606E" w:rsidRPr="00CE5F45">
        <w:rPr>
          <w:rFonts w:ascii="Times New Roman" w:hAnsi="Times New Roman" w:cs="Times New Roman"/>
        </w:rPr>
        <w:t xml:space="preserve">enregistrement porte </w:t>
      </w:r>
      <w:r w:rsidR="007C606E">
        <w:rPr>
          <w:rFonts w:ascii="Times New Roman" w:hAnsi="Times New Roman" w:cs="Times New Roman"/>
        </w:rPr>
        <w:t xml:space="preserve">également </w:t>
      </w:r>
      <w:r w:rsidR="007C606E" w:rsidRPr="00CE5F45">
        <w:rPr>
          <w:rFonts w:ascii="Times New Roman" w:hAnsi="Times New Roman" w:cs="Times New Roman"/>
        </w:rPr>
        <w:t xml:space="preserve">atteinte à la profession </w:t>
      </w:r>
      <w:r w:rsidR="007C606E">
        <w:rPr>
          <w:rFonts w:ascii="Times New Roman" w:hAnsi="Times New Roman" w:cs="Times New Roman"/>
        </w:rPr>
        <w:t xml:space="preserve">de l’artiste-interprète </w:t>
      </w:r>
      <w:r w:rsidR="007C606E" w:rsidRPr="00CE5F45">
        <w:rPr>
          <w:rFonts w:ascii="Times New Roman" w:hAnsi="Times New Roman" w:cs="Times New Roman"/>
        </w:rPr>
        <w:t>dans son ensemble</w:t>
      </w:r>
      <w:r w:rsidR="007C606E">
        <w:rPr>
          <w:rFonts w:ascii="Times New Roman" w:hAnsi="Times New Roman" w:cs="Times New Roman"/>
        </w:rPr>
        <w:t>,</w:t>
      </w:r>
      <w:r w:rsidR="007C606E" w:rsidRPr="00CE5F45">
        <w:rPr>
          <w:rFonts w:ascii="Times New Roman" w:hAnsi="Times New Roman" w:cs="Times New Roman"/>
        </w:rPr>
        <w:t xml:space="preserve"> d’où la reconnaissance d’un préjudice collectif distinct</w:t>
      </w:r>
      <w:r w:rsidR="007C606E">
        <w:rPr>
          <w:rFonts w:ascii="Times New Roman" w:hAnsi="Times New Roman" w:cs="Times New Roman"/>
        </w:rPr>
        <w:t xml:space="preserve"> du préjudice individuel. </w:t>
      </w:r>
      <w:r w:rsidR="00E74850">
        <w:rPr>
          <w:rFonts w:ascii="Times New Roman" w:hAnsi="Times New Roman" w:cs="Times New Roman"/>
        </w:rPr>
        <w:t>Elle a rejeté la défense de la société Universal</w:t>
      </w:r>
      <w:r w:rsidR="008F5358">
        <w:rPr>
          <w:rFonts w:ascii="Times New Roman" w:hAnsi="Times New Roman" w:cs="Times New Roman"/>
        </w:rPr>
        <w:t xml:space="preserve"> qui </w:t>
      </w:r>
      <w:r w:rsidR="00E74850">
        <w:rPr>
          <w:rFonts w:ascii="Times New Roman" w:hAnsi="Times New Roman" w:cs="Times New Roman"/>
        </w:rPr>
        <w:t xml:space="preserve">soutenait que </w:t>
      </w:r>
      <w:r w:rsidR="008F5358">
        <w:rPr>
          <w:rFonts w:ascii="Times New Roman" w:hAnsi="Times New Roman" w:cs="Times New Roman"/>
        </w:rPr>
        <w:t>reconnaitre</w:t>
      </w:r>
      <w:r w:rsidR="00E74850">
        <w:rPr>
          <w:rFonts w:ascii="Times New Roman" w:hAnsi="Times New Roman" w:cs="Times New Roman"/>
        </w:rPr>
        <w:t xml:space="preserve"> </w:t>
      </w:r>
      <w:r w:rsidR="008F5358">
        <w:rPr>
          <w:rFonts w:ascii="Times New Roman" w:hAnsi="Times New Roman" w:cs="Times New Roman"/>
        </w:rPr>
        <w:t xml:space="preserve">un </w:t>
      </w:r>
      <w:r w:rsidR="00E74850">
        <w:rPr>
          <w:rFonts w:ascii="Times New Roman" w:hAnsi="Times New Roman" w:cs="Times New Roman"/>
        </w:rPr>
        <w:t>préjudice collectif sur le licencié</w:t>
      </w:r>
      <w:r w:rsidR="007C606E" w:rsidRPr="00CE5F45">
        <w:rPr>
          <w:rFonts w:ascii="Times New Roman" w:hAnsi="Times New Roman" w:cs="Times New Roman"/>
        </w:rPr>
        <w:t xml:space="preserve"> </w:t>
      </w:r>
      <w:r w:rsidR="00E74850">
        <w:rPr>
          <w:rFonts w:ascii="Times New Roman" w:hAnsi="Times New Roman" w:cs="Times New Roman"/>
        </w:rPr>
        <w:t xml:space="preserve">menacerait l’économie des licences phonographiques et que </w:t>
      </w:r>
      <w:r w:rsidR="008F5358">
        <w:rPr>
          <w:rFonts w:ascii="Times New Roman" w:hAnsi="Times New Roman" w:cs="Times New Roman"/>
        </w:rPr>
        <w:t>son</w:t>
      </w:r>
      <w:r w:rsidR="00E74850">
        <w:rPr>
          <w:rFonts w:ascii="Times New Roman" w:hAnsi="Times New Roman" w:cs="Times New Roman"/>
        </w:rPr>
        <w:t xml:space="preserve"> montant était disproportionné. </w:t>
      </w:r>
      <w:r w:rsidR="007C606E" w:rsidRPr="00CE5F45">
        <w:rPr>
          <w:rFonts w:ascii="Times New Roman" w:hAnsi="Times New Roman" w:cs="Times New Roman"/>
        </w:rPr>
        <w:t xml:space="preserve"> </w:t>
      </w:r>
      <w:r w:rsidR="00FB0A3F">
        <w:rPr>
          <w:rFonts w:ascii="Times New Roman" w:hAnsi="Times New Roman" w:cs="Times New Roman"/>
        </w:rPr>
        <w:t>La juridiction</w:t>
      </w:r>
      <w:r w:rsidR="00E74850">
        <w:rPr>
          <w:rFonts w:ascii="Times New Roman" w:hAnsi="Times New Roman" w:cs="Times New Roman"/>
        </w:rPr>
        <w:t xml:space="preserve"> </w:t>
      </w:r>
      <w:r w:rsidR="004B0312">
        <w:rPr>
          <w:rFonts w:ascii="Times New Roman" w:hAnsi="Times New Roman" w:cs="Times New Roman"/>
        </w:rPr>
        <w:t>consacre</w:t>
      </w:r>
      <w:r w:rsidR="00FB0A3F">
        <w:rPr>
          <w:rFonts w:ascii="Times New Roman" w:hAnsi="Times New Roman" w:cs="Times New Roman"/>
        </w:rPr>
        <w:t xml:space="preserve"> ainsi </w:t>
      </w:r>
      <w:r w:rsidR="000676C2">
        <w:rPr>
          <w:rFonts w:ascii="Times New Roman" w:hAnsi="Times New Roman" w:cs="Times New Roman"/>
        </w:rPr>
        <w:t>l</w:t>
      </w:r>
      <w:r w:rsidR="00E74850">
        <w:rPr>
          <w:rFonts w:ascii="Times New Roman" w:hAnsi="Times New Roman" w:cs="Times New Roman"/>
        </w:rPr>
        <w:t xml:space="preserve">a protection </w:t>
      </w:r>
      <w:r w:rsidR="00FB0A3F">
        <w:rPr>
          <w:rFonts w:ascii="Times New Roman" w:hAnsi="Times New Roman" w:cs="Times New Roman"/>
        </w:rPr>
        <w:t xml:space="preserve">globale </w:t>
      </w:r>
      <w:r w:rsidR="00E74850">
        <w:rPr>
          <w:rFonts w:ascii="Times New Roman" w:hAnsi="Times New Roman" w:cs="Times New Roman"/>
        </w:rPr>
        <w:t>de la profession d’artistes-interprètes</w:t>
      </w:r>
      <w:r w:rsidR="009D4CD6">
        <w:rPr>
          <w:rFonts w:ascii="Times New Roman" w:hAnsi="Times New Roman" w:cs="Times New Roman"/>
        </w:rPr>
        <w:t xml:space="preserve">. </w:t>
      </w:r>
      <w:r w:rsidR="00E74850">
        <w:rPr>
          <w:rFonts w:ascii="Times New Roman" w:hAnsi="Times New Roman" w:cs="Times New Roman"/>
        </w:rPr>
        <w:t xml:space="preserve">En reconnaissant la requête de la </w:t>
      </w:r>
      <w:r w:rsidR="00E74850">
        <w:rPr>
          <w:rFonts w:ascii="Times New Roman" w:hAnsi="Times New Roman" w:cs="Times New Roman"/>
        </w:rPr>
        <w:t xml:space="preserve">SPEDIDAM, les juges affirment la légitimité de cet organisme à agir pour défendre l’intérêt collectif des artistes-interprètes. Conformément à l’article 3 de ses statuts, la SPEDIDAM dispose de la qualité </w:t>
      </w:r>
      <w:r w:rsidR="00CD6897" w:rsidRPr="00CE5F45">
        <w:rPr>
          <w:rFonts w:ascii="Times New Roman" w:hAnsi="Times New Roman" w:cs="Times New Roman"/>
        </w:rPr>
        <w:t>pour ester en justice dans l’intérêt collectif de la profession</w:t>
      </w:r>
      <w:r w:rsidR="00E74850">
        <w:rPr>
          <w:rFonts w:ascii="Times New Roman" w:hAnsi="Times New Roman" w:cs="Times New Roman"/>
        </w:rPr>
        <w:t xml:space="preserve"> et </w:t>
      </w:r>
      <w:r w:rsidR="00CD6897" w:rsidRPr="00CE5F45">
        <w:rPr>
          <w:rFonts w:ascii="Times New Roman" w:hAnsi="Times New Roman" w:cs="Times New Roman"/>
        </w:rPr>
        <w:t>faire respecter les droits reconnus aux artistes</w:t>
      </w:r>
      <w:r w:rsidR="00E74850">
        <w:rPr>
          <w:rFonts w:ascii="Times New Roman" w:hAnsi="Times New Roman" w:cs="Times New Roman"/>
        </w:rPr>
        <w:t>-</w:t>
      </w:r>
      <w:r w:rsidR="00CD6897" w:rsidRPr="00CE5F45">
        <w:rPr>
          <w:rFonts w:ascii="Times New Roman" w:hAnsi="Times New Roman" w:cs="Times New Roman"/>
        </w:rPr>
        <w:t>interprètes</w:t>
      </w:r>
      <w:r w:rsidR="00E74850">
        <w:rPr>
          <w:rFonts w:ascii="Times New Roman" w:hAnsi="Times New Roman" w:cs="Times New Roman"/>
        </w:rPr>
        <w:t xml:space="preserve">. Par conséquent, </w:t>
      </w:r>
      <w:r w:rsidR="000676C2">
        <w:rPr>
          <w:rFonts w:ascii="Times New Roman" w:hAnsi="Times New Roman" w:cs="Times New Roman"/>
        </w:rPr>
        <w:t xml:space="preserve">cette condamnation </w:t>
      </w:r>
      <w:r w:rsidR="00886BC9" w:rsidRPr="00CE5F45">
        <w:rPr>
          <w:rFonts w:ascii="Times New Roman" w:hAnsi="Times New Roman" w:cs="Times New Roman"/>
        </w:rPr>
        <w:t xml:space="preserve">permet de </w:t>
      </w:r>
      <w:r w:rsidR="004B0312">
        <w:rPr>
          <w:rFonts w:ascii="Times New Roman" w:hAnsi="Times New Roman" w:cs="Times New Roman"/>
        </w:rPr>
        <w:t>reconnaître</w:t>
      </w:r>
      <w:r w:rsidR="00886BC9" w:rsidRPr="00CE5F45">
        <w:rPr>
          <w:rFonts w:ascii="Times New Roman" w:hAnsi="Times New Roman" w:cs="Times New Roman"/>
        </w:rPr>
        <w:t xml:space="preserve"> le rôle</w:t>
      </w:r>
      <w:r w:rsidR="000676C2">
        <w:rPr>
          <w:rFonts w:ascii="Times New Roman" w:hAnsi="Times New Roman" w:cs="Times New Roman"/>
        </w:rPr>
        <w:t xml:space="preserve"> accompli</w:t>
      </w:r>
      <w:r w:rsidR="00886BC9" w:rsidRPr="00CE5F45">
        <w:rPr>
          <w:rFonts w:ascii="Times New Roman" w:hAnsi="Times New Roman" w:cs="Times New Roman"/>
        </w:rPr>
        <w:t xml:space="preserve"> </w:t>
      </w:r>
      <w:r w:rsidR="000676C2">
        <w:rPr>
          <w:rFonts w:ascii="Times New Roman" w:hAnsi="Times New Roman" w:cs="Times New Roman"/>
        </w:rPr>
        <w:t xml:space="preserve">de la SPEDIDAM, autant comme gestionnaire </w:t>
      </w:r>
      <w:r w:rsidR="006B327C" w:rsidRPr="00CE5F45">
        <w:rPr>
          <w:rFonts w:ascii="Times New Roman" w:hAnsi="Times New Roman" w:cs="Times New Roman"/>
        </w:rPr>
        <w:t xml:space="preserve">des droits </w:t>
      </w:r>
      <w:r w:rsidR="000676C2">
        <w:rPr>
          <w:rFonts w:ascii="Times New Roman" w:hAnsi="Times New Roman" w:cs="Times New Roman"/>
        </w:rPr>
        <w:t xml:space="preserve">individuels </w:t>
      </w:r>
      <w:r w:rsidR="006B327C" w:rsidRPr="00CE5F45">
        <w:rPr>
          <w:rFonts w:ascii="Times New Roman" w:hAnsi="Times New Roman" w:cs="Times New Roman"/>
        </w:rPr>
        <w:t>des artistes-interprètes</w:t>
      </w:r>
      <w:r w:rsidR="000676C2">
        <w:rPr>
          <w:rFonts w:ascii="Times New Roman" w:hAnsi="Times New Roman" w:cs="Times New Roman"/>
        </w:rPr>
        <w:t>, que protectrice des intérêts collectifs de la professio</w:t>
      </w:r>
      <w:r w:rsidR="00DA5A42">
        <w:rPr>
          <w:rFonts w:ascii="Times New Roman" w:hAnsi="Times New Roman" w:cs="Times New Roman"/>
        </w:rPr>
        <w:t>n.</w:t>
      </w:r>
    </w:p>
    <w:p w:rsidR="001F2877" w:rsidRDefault="001F2877" w:rsidP="00CE5F45">
      <w:pPr>
        <w:spacing w:line="276" w:lineRule="auto"/>
        <w:jc w:val="both"/>
        <w:rPr>
          <w:rFonts w:ascii="Times New Roman" w:hAnsi="Times New Roman" w:cs="Times New Roman"/>
        </w:rPr>
        <w:sectPr w:rsidR="001F2877" w:rsidSect="001F2877">
          <w:type w:val="continuous"/>
          <w:pgSz w:w="11906" w:h="16838"/>
          <w:pgMar w:top="1440" w:right="1080" w:bottom="1440" w:left="1080" w:header="708" w:footer="708" w:gutter="0"/>
          <w:cols w:space="708"/>
          <w:docGrid w:linePitch="360"/>
        </w:sectPr>
      </w:pPr>
    </w:p>
    <w:p w:rsidR="00DA5A42" w:rsidRDefault="00DA5A42" w:rsidP="00CE5F45">
      <w:pPr>
        <w:spacing w:line="276" w:lineRule="auto"/>
        <w:jc w:val="both"/>
        <w:rPr>
          <w:rFonts w:ascii="Times New Roman" w:hAnsi="Times New Roman" w:cs="Times New Roman"/>
        </w:rPr>
      </w:pPr>
    </w:p>
    <w:p w:rsidR="00D22330" w:rsidRDefault="00D22330" w:rsidP="00CE5F45">
      <w:pPr>
        <w:spacing w:line="276" w:lineRule="auto"/>
        <w:jc w:val="right"/>
        <w:rPr>
          <w:rFonts w:ascii="Times New Roman" w:hAnsi="Times New Roman" w:cs="Times New Roman"/>
        </w:rPr>
      </w:pPr>
      <w:r w:rsidRPr="00D22330">
        <w:rPr>
          <w:rFonts w:ascii="Times New Roman" w:hAnsi="Times New Roman" w:cs="Times New Roman"/>
        </w:rPr>
        <w:t xml:space="preserve">Morgane </w:t>
      </w:r>
      <w:proofErr w:type="spellStart"/>
      <w:r w:rsidRPr="00D22330">
        <w:rPr>
          <w:rFonts w:ascii="Times New Roman" w:hAnsi="Times New Roman" w:cs="Times New Roman"/>
        </w:rPr>
        <w:t>Payan</w:t>
      </w:r>
      <w:proofErr w:type="spellEnd"/>
    </w:p>
    <w:p w:rsidR="00DA5A42" w:rsidRDefault="00DA5A42" w:rsidP="00CE5F45">
      <w:pPr>
        <w:spacing w:line="276" w:lineRule="auto"/>
        <w:jc w:val="right"/>
        <w:rPr>
          <w:rFonts w:ascii="Times New Roman" w:hAnsi="Times New Roman" w:cs="Times New Roman"/>
        </w:rPr>
      </w:pPr>
    </w:p>
    <w:p w:rsidR="00D22330" w:rsidRDefault="00D22330" w:rsidP="00CE5F45">
      <w:pPr>
        <w:spacing w:line="276" w:lineRule="auto"/>
        <w:jc w:val="right"/>
        <w:rPr>
          <w:rFonts w:ascii="Times New Roman" w:hAnsi="Times New Roman" w:cs="Times New Roman"/>
          <w:sz w:val="22"/>
          <w:szCs w:val="22"/>
        </w:rPr>
      </w:pPr>
      <w:r w:rsidRPr="00D22330">
        <w:rPr>
          <w:rFonts w:ascii="Times New Roman" w:hAnsi="Times New Roman" w:cs="Times New Roman"/>
          <w:sz w:val="22"/>
          <w:szCs w:val="22"/>
        </w:rPr>
        <w:t>Master 2 Droit des industries créatives et culturelles</w:t>
      </w:r>
    </w:p>
    <w:p w:rsidR="004B0312" w:rsidRPr="00D22330" w:rsidRDefault="004B0312" w:rsidP="00CE5F45">
      <w:pPr>
        <w:spacing w:line="276" w:lineRule="auto"/>
        <w:jc w:val="right"/>
        <w:rPr>
          <w:rFonts w:ascii="Times New Roman" w:hAnsi="Times New Roman" w:cs="Times New Roman"/>
          <w:sz w:val="22"/>
          <w:szCs w:val="22"/>
        </w:rPr>
      </w:pPr>
      <w:r>
        <w:rPr>
          <w:rFonts w:ascii="Times New Roman" w:hAnsi="Times New Roman" w:cs="Times New Roman"/>
          <w:sz w:val="22"/>
          <w:szCs w:val="22"/>
        </w:rPr>
        <w:t>Faculté de Droit et de Science Politique - LID2MS</w:t>
      </w:r>
    </w:p>
    <w:p w:rsidR="00CE5F45" w:rsidRPr="00CE5F45" w:rsidRDefault="00D22330" w:rsidP="00CE5F45">
      <w:pPr>
        <w:spacing w:line="276" w:lineRule="auto"/>
        <w:jc w:val="right"/>
        <w:rPr>
          <w:rFonts w:ascii="Times New Roman" w:hAnsi="Times New Roman" w:cs="Times New Roman"/>
          <w:sz w:val="22"/>
          <w:szCs w:val="22"/>
        </w:rPr>
      </w:pPr>
      <w:r w:rsidRPr="00D22330">
        <w:rPr>
          <w:rFonts w:ascii="Times New Roman" w:hAnsi="Times New Roman" w:cs="Times New Roman"/>
          <w:sz w:val="22"/>
          <w:szCs w:val="22"/>
        </w:rPr>
        <w:t>AIX-MARSEILLE UNIVERSITÉ</w:t>
      </w:r>
      <w:r w:rsidR="004B0312">
        <w:rPr>
          <w:rFonts w:ascii="Times New Roman" w:hAnsi="Times New Roman" w:cs="Times New Roman"/>
          <w:sz w:val="22"/>
          <w:szCs w:val="22"/>
        </w:rPr>
        <w:t xml:space="preserve"> - </w:t>
      </w:r>
      <w:r w:rsidRPr="00D22330">
        <w:rPr>
          <w:rFonts w:ascii="Times New Roman" w:hAnsi="Times New Roman" w:cs="Times New Roman"/>
          <w:sz w:val="22"/>
          <w:szCs w:val="22"/>
        </w:rPr>
        <w:t>IREDIC 2025</w:t>
      </w:r>
      <w:r w:rsidR="004B0312">
        <w:rPr>
          <w:rFonts w:ascii="Times New Roman" w:hAnsi="Times New Roman" w:cs="Times New Roman"/>
          <w:sz w:val="22"/>
          <w:szCs w:val="22"/>
        </w:rPr>
        <w:t>.</w:t>
      </w:r>
    </w:p>
    <w:p w:rsidR="001F2877" w:rsidRDefault="001F2877" w:rsidP="00CE5F45">
      <w:pPr>
        <w:spacing w:line="276" w:lineRule="auto"/>
        <w:jc w:val="both"/>
        <w:rPr>
          <w:rFonts w:ascii="Times New Roman" w:hAnsi="Times New Roman" w:cs="Times New Roman"/>
        </w:rPr>
      </w:pPr>
    </w:p>
    <w:p w:rsidR="001F2877" w:rsidRPr="008A1AFD" w:rsidRDefault="001F2877" w:rsidP="00CE5F45">
      <w:pPr>
        <w:spacing w:line="276" w:lineRule="auto"/>
        <w:jc w:val="both"/>
        <w:rPr>
          <w:rFonts w:ascii="Times New Roman" w:hAnsi="Times New Roman" w:cs="Times New Roman"/>
        </w:rPr>
      </w:pPr>
    </w:p>
    <w:p w:rsidR="000E3B65" w:rsidRDefault="000E3B65" w:rsidP="00CE5F45">
      <w:pPr>
        <w:spacing w:line="276" w:lineRule="auto"/>
        <w:jc w:val="both"/>
        <w:rPr>
          <w:rFonts w:ascii="Times New Roman" w:hAnsi="Times New Roman" w:cs="Times New Roman"/>
        </w:rPr>
      </w:pPr>
    </w:p>
    <w:p w:rsidR="00B44367" w:rsidRPr="008A1AFD" w:rsidRDefault="00B44367" w:rsidP="00CE5F45">
      <w:pPr>
        <w:spacing w:line="276" w:lineRule="auto"/>
        <w:jc w:val="both"/>
        <w:rPr>
          <w:rFonts w:ascii="Times New Roman" w:hAnsi="Times New Roman" w:cs="Times New Roman"/>
        </w:rPr>
      </w:pPr>
    </w:p>
    <w:p w:rsidR="000E3B65" w:rsidRPr="008A1AFD" w:rsidRDefault="000E3B65" w:rsidP="00CE5F45">
      <w:pPr>
        <w:spacing w:line="276" w:lineRule="auto"/>
        <w:jc w:val="both"/>
        <w:rPr>
          <w:rFonts w:ascii="Times New Roman" w:hAnsi="Times New Roman" w:cs="Times New Roman"/>
        </w:rPr>
      </w:pPr>
    </w:p>
    <w:p w:rsidR="000E3B65" w:rsidRDefault="000E3B65"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Default="00B44367" w:rsidP="00CE5F45">
      <w:pPr>
        <w:spacing w:line="276" w:lineRule="auto"/>
        <w:jc w:val="both"/>
        <w:rPr>
          <w:rFonts w:ascii="Times New Roman" w:hAnsi="Times New Roman" w:cs="Times New Roman"/>
        </w:rPr>
      </w:pPr>
    </w:p>
    <w:p w:rsidR="00B44367" w:rsidRPr="00B44367" w:rsidRDefault="00B44367" w:rsidP="00CE5F45">
      <w:pPr>
        <w:spacing w:line="276" w:lineRule="auto"/>
        <w:jc w:val="both"/>
        <w:rPr>
          <w:rFonts w:ascii="Arial" w:hAnsi="Arial" w:cs="Arial"/>
          <w:sz w:val="18"/>
          <w:szCs w:val="18"/>
        </w:rPr>
      </w:pPr>
      <w:r w:rsidRPr="00B44367">
        <w:rPr>
          <w:rFonts w:ascii="Arial" w:hAnsi="Arial" w:cs="Arial"/>
          <w:b/>
          <w:bCs/>
          <w:sz w:val="18"/>
          <w:szCs w:val="18"/>
        </w:rPr>
        <w:t>ARRÊT</w:t>
      </w:r>
      <w:r w:rsidRPr="00B44367">
        <w:rPr>
          <w:rFonts w:ascii="Arial" w:hAnsi="Arial" w:cs="Arial"/>
          <w:sz w:val="18"/>
          <w:szCs w:val="18"/>
        </w:rPr>
        <w:t xml:space="preserve"> : </w:t>
      </w:r>
    </w:p>
    <w:p w:rsidR="00B44367" w:rsidRDefault="00B44367" w:rsidP="00B44367">
      <w:pPr>
        <w:spacing w:line="276" w:lineRule="auto"/>
        <w:rPr>
          <w:rStyle w:val="Accentuation"/>
          <w:rFonts w:ascii="Times New Roman" w:hAnsi="Times New Roman" w:cs="Times New Roman"/>
          <w:b/>
          <w:bCs/>
          <w:color w:val="000000"/>
          <w:sz w:val="22"/>
          <w:szCs w:val="22"/>
        </w:rPr>
      </w:pPr>
      <w:r w:rsidRPr="00B44367">
        <w:rPr>
          <w:rStyle w:val="Accentuation"/>
          <w:rFonts w:ascii="Times New Roman" w:hAnsi="Times New Roman" w:cs="Times New Roman"/>
          <w:b/>
          <w:bCs/>
          <w:color w:val="000000"/>
          <w:sz w:val="22"/>
          <w:szCs w:val="22"/>
        </w:rPr>
        <w:t>Cour d’appel de Paris, pôle 5 chambre 2, 23 mai 2025, n°23/17959</w:t>
      </w:r>
    </w:p>
    <w:p w:rsidR="00B44367" w:rsidRDefault="00B44367" w:rsidP="00B44367">
      <w:pPr>
        <w:pStyle w:val="p2"/>
      </w:pPr>
    </w:p>
    <w:p w:rsidR="00E200CD" w:rsidRDefault="00E200CD" w:rsidP="00E200CD">
      <w:pPr>
        <w:pStyle w:val="p1"/>
        <w:spacing w:line="276" w:lineRule="auto"/>
        <w:rPr>
          <w:rFonts w:ascii="Times New Roman" w:hAnsi="Times New Roman"/>
          <w:sz w:val="24"/>
          <w:szCs w:val="24"/>
        </w:rPr>
        <w:sectPr w:rsidR="00E200CD" w:rsidSect="008A1AFD">
          <w:type w:val="continuous"/>
          <w:pgSz w:w="11906" w:h="16838"/>
          <w:pgMar w:top="1440" w:right="1080" w:bottom="1440" w:left="1080" w:header="708" w:footer="708" w:gutter="0"/>
          <w:cols w:space="708"/>
          <w:docGrid w:linePitch="360"/>
        </w:sectPr>
      </w:pPr>
    </w:p>
    <w:p w:rsidR="00B44367"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Sur la demande de dommages et intérêts portant sur la réparation du préjudice individuel des artistes-interprètes</w:t>
      </w:r>
    </w:p>
    <w:p w:rsidR="00375A95" w:rsidRPr="00E200CD" w:rsidRDefault="00375A95" w:rsidP="00E200CD">
      <w:pPr>
        <w:pStyle w:val="p1"/>
        <w:spacing w:line="276" w:lineRule="auto"/>
        <w:jc w:val="both"/>
        <w:rPr>
          <w:rFonts w:ascii="Times New Roman" w:hAnsi="Times New Roman"/>
          <w:sz w:val="24"/>
          <w:szCs w:val="24"/>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La société Universal conteste le montant des dommages et intérêts alloués par les premiers juges. Elle fait valoir que le</w:t>
      </w:r>
      <w:r w:rsidR="00E200CD" w:rsidRPr="00E200CD">
        <w:rPr>
          <w:rFonts w:ascii="Times New Roman" w:hAnsi="Times New Roman"/>
          <w:sz w:val="24"/>
          <w:szCs w:val="24"/>
        </w:rPr>
        <w:t xml:space="preserve"> </w:t>
      </w:r>
      <w:r w:rsidRPr="00E200CD">
        <w:rPr>
          <w:rFonts w:ascii="Times New Roman" w:hAnsi="Times New Roman"/>
          <w:sz w:val="24"/>
          <w:szCs w:val="24"/>
        </w:rPr>
        <w:t>contrat de licence l'autorisait à commercialiser l'enregistrement pendant une durée de 5 ans et qu'elle n'est redevable en</w:t>
      </w:r>
      <w:r w:rsidR="00E200CD" w:rsidRPr="00E200CD">
        <w:rPr>
          <w:rFonts w:ascii="Times New Roman" w:hAnsi="Times New Roman"/>
          <w:sz w:val="24"/>
          <w:szCs w:val="24"/>
        </w:rPr>
        <w:t xml:space="preserve"> </w:t>
      </w:r>
      <w:r w:rsidRPr="00E200CD">
        <w:rPr>
          <w:rFonts w:ascii="Times New Roman" w:hAnsi="Times New Roman"/>
          <w:sz w:val="24"/>
          <w:szCs w:val="24"/>
        </w:rPr>
        <w:t xml:space="preserve">conséquence que d'une fraction de la redevance calculée prorata </w:t>
      </w:r>
      <w:proofErr w:type="spellStart"/>
      <w:r w:rsidRPr="00E200CD">
        <w:rPr>
          <w:rFonts w:ascii="Times New Roman" w:hAnsi="Times New Roman"/>
          <w:sz w:val="24"/>
          <w:szCs w:val="24"/>
        </w:rPr>
        <w:t>temporis</w:t>
      </w:r>
      <w:proofErr w:type="spellEnd"/>
      <w:r w:rsidRPr="00E200CD">
        <w:rPr>
          <w:rFonts w:ascii="Times New Roman" w:hAnsi="Times New Roman"/>
          <w:sz w:val="24"/>
          <w:szCs w:val="24"/>
        </w:rPr>
        <w:t xml:space="preserve"> par rapport à la durée légale de 70 ans de</w:t>
      </w:r>
      <w:r w:rsidR="00E200CD" w:rsidRPr="00E200CD">
        <w:rPr>
          <w:rFonts w:ascii="Times New Roman" w:hAnsi="Times New Roman"/>
          <w:sz w:val="24"/>
          <w:szCs w:val="24"/>
        </w:rPr>
        <w:t xml:space="preserve"> </w:t>
      </w:r>
      <w:r w:rsidRPr="00E200CD">
        <w:rPr>
          <w:rFonts w:ascii="Times New Roman" w:hAnsi="Times New Roman"/>
          <w:sz w:val="24"/>
          <w:szCs w:val="24"/>
        </w:rPr>
        <w:t>protection de l'exploitation des interprétations. Elle ajoute qu'il est indifférent que le barème de la Spedidam ne tienne</w:t>
      </w:r>
      <w:r w:rsidR="00E200CD" w:rsidRPr="00E200CD">
        <w:rPr>
          <w:rFonts w:ascii="Times New Roman" w:hAnsi="Times New Roman"/>
          <w:sz w:val="24"/>
          <w:szCs w:val="24"/>
        </w:rPr>
        <w:t xml:space="preserve"> </w:t>
      </w:r>
      <w:r w:rsidRPr="00E200CD">
        <w:rPr>
          <w:rFonts w:ascii="Times New Roman" w:hAnsi="Times New Roman"/>
          <w:sz w:val="24"/>
          <w:szCs w:val="24"/>
        </w:rPr>
        <w:t>pas compte de la durée de l'autorisation, ni de défaut de caractère exclusif dès lors que ces conditions ne lui sont pas</w:t>
      </w:r>
      <w:r w:rsidR="00E200CD" w:rsidRPr="00E200CD">
        <w:rPr>
          <w:rFonts w:ascii="Times New Roman" w:hAnsi="Times New Roman"/>
          <w:sz w:val="24"/>
          <w:szCs w:val="24"/>
        </w:rPr>
        <w:t xml:space="preserve"> </w:t>
      </w:r>
      <w:r w:rsidRPr="00E200CD">
        <w:rPr>
          <w:rFonts w:ascii="Times New Roman" w:hAnsi="Times New Roman"/>
          <w:sz w:val="24"/>
          <w:szCs w:val="24"/>
        </w:rPr>
        <w:t>applicables. Elle affirme qu'elle ne peut être condamnée à des dommages et intérêts punitifs.</w:t>
      </w:r>
    </w:p>
    <w:p w:rsidR="00E200CD" w:rsidRPr="00E200CD" w:rsidRDefault="00E200CD" w:rsidP="00E200CD">
      <w:pPr>
        <w:pStyle w:val="p1"/>
        <w:spacing w:line="276" w:lineRule="auto"/>
        <w:jc w:val="both"/>
        <w:rPr>
          <w:rFonts w:ascii="Times New Roman" w:hAnsi="Times New Roman"/>
          <w:sz w:val="24"/>
          <w:szCs w:val="24"/>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La Spedidam répond que la réparation du préjudice individuel des artistes-interprètes doit être fixée en vertu de l'article</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L.331-1-3 du code de la propriété intellectuelle.</w:t>
      </w:r>
      <w:r w:rsidR="00E200CD" w:rsidRPr="00E200CD">
        <w:rPr>
          <w:rFonts w:ascii="Times New Roman" w:hAnsi="Times New Roman"/>
          <w:sz w:val="24"/>
          <w:szCs w:val="24"/>
        </w:rPr>
        <w:t xml:space="preserve"> </w:t>
      </w:r>
      <w:r w:rsidRPr="00E200CD">
        <w:rPr>
          <w:rFonts w:ascii="Times New Roman" w:hAnsi="Times New Roman"/>
          <w:sz w:val="24"/>
          <w:szCs w:val="24"/>
        </w:rPr>
        <w:t>En effet, la violation des droits des artistes-interprètes est responsable dont est responsable la société Universal en ayant</w:t>
      </w:r>
      <w:r w:rsidR="00E200CD" w:rsidRPr="00E200CD">
        <w:rPr>
          <w:rFonts w:ascii="Times New Roman" w:hAnsi="Times New Roman"/>
          <w:sz w:val="24"/>
          <w:szCs w:val="24"/>
        </w:rPr>
        <w:t xml:space="preserve"> </w:t>
      </w:r>
      <w:r w:rsidRPr="00E200CD">
        <w:rPr>
          <w:rFonts w:ascii="Times New Roman" w:hAnsi="Times New Roman"/>
          <w:sz w:val="24"/>
          <w:szCs w:val="24"/>
        </w:rPr>
        <w:t>reproduit et commercialisé sans leur accord l'enregistrement du concert doit être réparée par des dommages et intérêts,</w:t>
      </w:r>
      <w:r w:rsidR="00E200CD" w:rsidRPr="00E200CD">
        <w:rPr>
          <w:rFonts w:ascii="Times New Roman" w:hAnsi="Times New Roman"/>
          <w:sz w:val="24"/>
          <w:szCs w:val="24"/>
        </w:rPr>
        <w:t xml:space="preserve"> </w:t>
      </w:r>
      <w:r w:rsidRPr="00E200CD">
        <w:rPr>
          <w:rFonts w:ascii="Times New Roman" w:hAnsi="Times New Roman"/>
          <w:sz w:val="24"/>
          <w:szCs w:val="24"/>
        </w:rPr>
        <w:t>et non par l'application du tarif de la Spedidam, en tenant compte des conséquences économiques négatives, du</w:t>
      </w:r>
      <w:r w:rsidR="00E200CD" w:rsidRPr="00E200CD">
        <w:rPr>
          <w:rFonts w:ascii="Times New Roman" w:hAnsi="Times New Roman"/>
          <w:sz w:val="24"/>
          <w:szCs w:val="24"/>
        </w:rPr>
        <w:t xml:space="preserve"> </w:t>
      </w:r>
      <w:r w:rsidRPr="00E200CD">
        <w:rPr>
          <w:rFonts w:ascii="Times New Roman" w:hAnsi="Times New Roman"/>
          <w:sz w:val="24"/>
          <w:szCs w:val="24"/>
        </w:rPr>
        <w:t xml:space="preserve">préjudice moral et des bénéfices réalisés par cette société. </w:t>
      </w:r>
      <w:r w:rsidR="00E200CD" w:rsidRPr="00E200CD">
        <w:rPr>
          <w:rFonts w:ascii="Times New Roman" w:hAnsi="Times New Roman"/>
          <w:sz w:val="24"/>
          <w:szCs w:val="24"/>
        </w:rPr>
        <w:t>Le préjudice</w:t>
      </w:r>
      <w:r w:rsidRPr="00E200CD">
        <w:rPr>
          <w:rFonts w:ascii="Times New Roman" w:hAnsi="Times New Roman"/>
          <w:sz w:val="24"/>
          <w:szCs w:val="24"/>
        </w:rPr>
        <w:t xml:space="preserve"> peut être indemnisé sur demande de la partie</w:t>
      </w:r>
      <w:r w:rsidR="00E200CD" w:rsidRPr="00E200CD">
        <w:rPr>
          <w:rFonts w:ascii="Times New Roman" w:hAnsi="Times New Roman"/>
          <w:sz w:val="24"/>
          <w:szCs w:val="24"/>
        </w:rPr>
        <w:t xml:space="preserve"> </w:t>
      </w:r>
      <w:r w:rsidRPr="00E200CD">
        <w:rPr>
          <w:rFonts w:ascii="Times New Roman" w:hAnsi="Times New Roman"/>
          <w:sz w:val="24"/>
          <w:szCs w:val="24"/>
        </w:rPr>
        <w:t>lésée d'une manière forfaitaire et la somme allouée doit être supérieure au montant des droits qui auraient été dus en</w:t>
      </w:r>
      <w:r w:rsidR="00E200CD" w:rsidRPr="00E200CD">
        <w:rPr>
          <w:rFonts w:ascii="Times New Roman" w:hAnsi="Times New Roman"/>
          <w:sz w:val="24"/>
          <w:szCs w:val="24"/>
        </w:rPr>
        <w:t xml:space="preserve"> </w:t>
      </w:r>
      <w:r w:rsidRPr="00E200CD">
        <w:rPr>
          <w:rFonts w:ascii="Times New Roman" w:hAnsi="Times New Roman"/>
          <w:sz w:val="24"/>
          <w:szCs w:val="24"/>
        </w:rPr>
        <w:t>cas d'autorisation.</w:t>
      </w:r>
      <w:r w:rsidR="00E200CD" w:rsidRPr="00E200CD">
        <w:rPr>
          <w:rFonts w:ascii="Times New Roman" w:hAnsi="Times New Roman"/>
          <w:sz w:val="24"/>
          <w:szCs w:val="24"/>
        </w:rPr>
        <w:t xml:space="preserve"> </w:t>
      </w:r>
      <w:r w:rsidRPr="00E200CD">
        <w:rPr>
          <w:rFonts w:ascii="Times New Roman" w:hAnsi="Times New Roman"/>
          <w:sz w:val="24"/>
          <w:szCs w:val="24"/>
        </w:rPr>
        <w:t xml:space="preserve">La Spedidam justifie que compte tenu de son tarif prenant en compte l'ancienneté de l'enregistrement, le </w:t>
      </w:r>
      <w:r w:rsidRPr="00E200CD">
        <w:rPr>
          <w:rFonts w:ascii="Times New Roman" w:hAnsi="Times New Roman"/>
          <w:sz w:val="24"/>
          <w:szCs w:val="24"/>
        </w:rPr>
        <w:t>nombre</w:t>
      </w:r>
      <w:r w:rsidR="00E200CD" w:rsidRPr="00E200CD">
        <w:rPr>
          <w:rFonts w:ascii="Times New Roman" w:hAnsi="Times New Roman"/>
          <w:sz w:val="24"/>
          <w:szCs w:val="24"/>
        </w:rPr>
        <w:t xml:space="preserve"> </w:t>
      </w:r>
      <w:r w:rsidRPr="00E200CD">
        <w:rPr>
          <w:rFonts w:ascii="Times New Roman" w:hAnsi="Times New Roman"/>
          <w:sz w:val="24"/>
          <w:szCs w:val="24"/>
        </w:rPr>
        <w:t>d'interprètes et la durée de l'enregistrement, et dans lequel la durée d'exploitation de l''</w:t>
      </w:r>
      <w:proofErr w:type="spellStart"/>
      <w:r w:rsidRPr="00E200CD">
        <w:rPr>
          <w:rFonts w:ascii="Times New Roman" w:hAnsi="Times New Roman"/>
          <w:sz w:val="24"/>
          <w:szCs w:val="24"/>
        </w:rPr>
        <w:t>uvre</w:t>
      </w:r>
      <w:proofErr w:type="spellEnd"/>
      <w:r w:rsidRPr="00E200CD">
        <w:rPr>
          <w:rFonts w:ascii="Times New Roman" w:hAnsi="Times New Roman"/>
          <w:sz w:val="24"/>
          <w:szCs w:val="24"/>
        </w:rPr>
        <w:t xml:space="preserve"> est indifférente, une somme</w:t>
      </w:r>
      <w:r w:rsidR="00E200CD" w:rsidRPr="00E200CD">
        <w:rPr>
          <w:rFonts w:ascii="Times New Roman" w:hAnsi="Times New Roman"/>
          <w:sz w:val="24"/>
          <w:szCs w:val="24"/>
        </w:rPr>
        <w:t xml:space="preserve"> </w:t>
      </w:r>
      <w:r w:rsidRPr="00E200CD">
        <w:rPr>
          <w:rFonts w:ascii="Times New Roman" w:hAnsi="Times New Roman"/>
          <w:sz w:val="24"/>
          <w:szCs w:val="24"/>
        </w:rPr>
        <w:t xml:space="preserve">de 40 397,61 euros TTC aurait </w:t>
      </w:r>
      <w:r w:rsidR="00E200CD" w:rsidRPr="00E200CD">
        <w:rPr>
          <w:rFonts w:ascii="Times New Roman" w:hAnsi="Times New Roman"/>
          <w:sz w:val="24"/>
          <w:szCs w:val="24"/>
        </w:rPr>
        <w:t>dû</w:t>
      </w:r>
      <w:r w:rsidRPr="00E200CD">
        <w:rPr>
          <w:rFonts w:ascii="Times New Roman" w:hAnsi="Times New Roman"/>
          <w:sz w:val="24"/>
          <w:szCs w:val="24"/>
        </w:rPr>
        <w:t xml:space="preserve"> lui être versée, soit environ 500 euros par interprète.</w:t>
      </w:r>
      <w:r w:rsidR="00E200CD" w:rsidRPr="00E200CD">
        <w:rPr>
          <w:rFonts w:ascii="Times New Roman" w:hAnsi="Times New Roman"/>
          <w:sz w:val="24"/>
          <w:szCs w:val="24"/>
        </w:rPr>
        <w:t xml:space="preserve"> Étant</w:t>
      </w:r>
      <w:r w:rsidRPr="00E200CD">
        <w:rPr>
          <w:rFonts w:ascii="Times New Roman" w:hAnsi="Times New Roman"/>
          <w:sz w:val="24"/>
          <w:szCs w:val="24"/>
        </w:rPr>
        <w:t xml:space="preserve"> relevé que l'enregistrement commercialisé par la société Universal est d'une durée de près d'1h15, constitue un</w:t>
      </w:r>
      <w:r w:rsidR="00E200CD">
        <w:rPr>
          <w:rFonts w:ascii="Times New Roman" w:hAnsi="Times New Roman"/>
          <w:sz w:val="24"/>
          <w:szCs w:val="24"/>
        </w:rPr>
        <w:t xml:space="preserve"> </w:t>
      </w:r>
      <w:r w:rsidRPr="00E200CD">
        <w:rPr>
          <w:rFonts w:ascii="Times New Roman" w:hAnsi="Times New Roman"/>
          <w:sz w:val="24"/>
          <w:szCs w:val="24"/>
        </w:rPr>
        <w:t>des compacts disques du coffret et était toujours commercialisé en novembre 2022, le préjudice sera fixé à 45 000 euros.</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Le jugement sera infirmé en ce qu'il a fixé cette somme pour indemniser à la fois le préjudice au titre des atteintes</w:t>
      </w:r>
      <w:r w:rsidR="00E200CD">
        <w:rPr>
          <w:rFonts w:ascii="Times New Roman" w:hAnsi="Times New Roman"/>
          <w:sz w:val="24"/>
          <w:szCs w:val="24"/>
        </w:rPr>
        <w:t xml:space="preserve"> </w:t>
      </w:r>
      <w:r w:rsidRPr="00E200CD">
        <w:rPr>
          <w:rFonts w:ascii="Times New Roman" w:hAnsi="Times New Roman"/>
          <w:sz w:val="24"/>
          <w:szCs w:val="24"/>
        </w:rPr>
        <w:t>portées aux droits des artistes-interprètes et de leur profession alors que la Spedidam avait sollicité deux indemnisations</w:t>
      </w:r>
      <w:r w:rsidR="00E200CD">
        <w:rPr>
          <w:rFonts w:ascii="Times New Roman" w:hAnsi="Times New Roman"/>
          <w:sz w:val="24"/>
          <w:szCs w:val="24"/>
        </w:rPr>
        <w:t xml:space="preserve"> </w:t>
      </w:r>
      <w:r w:rsidRPr="00E200CD">
        <w:rPr>
          <w:rFonts w:ascii="Times New Roman" w:hAnsi="Times New Roman"/>
          <w:sz w:val="24"/>
          <w:szCs w:val="24"/>
        </w:rPr>
        <w:t>différentes.</w:t>
      </w:r>
    </w:p>
    <w:p w:rsidR="00E200CD" w:rsidRDefault="00E200CD" w:rsidP="00E200CD">
      <w:pPr>
        <w:pStyle w:val="p1"/>
        <w:spacing w:line="276" w:lineRule="auto"/>
        <w:jc w:val="both"/>
        <w:rPr>
          <w:rFonts w:ascii="Times New Roman" w:hAnsi="Times New Roman"/>
          <w:sz w:val="24"/>
          <w:szCs w:val="24"/>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Sur la demande de dommages et intérêts portant sur le préjudice de la Spedidam découlant de l'atteinte à la profession</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La société Universal conteste l'existence d'un préjudice découlant de l'atteinte à la profession. Elle fait par ailleurs valoir</w:t>
      </w:r>
      <w:r w:rsidR="00E200CD">
        <w:rPr>
          <w:rFonts w:ascii="Times New Roman" w:hAnsi="Times New Roman"/>
          <w:sz w:val="24"/>
          <w:szCs w:val="24"/>
        </w:rPr>
        <w:t xml:space="preserve"> </w:t>
      </w:r>
      <w:r w:rsidRPr="00E200CD">
        <w:rPr>
          <w:rFonts w:ascii="Times New Roman" w:hAnsi="Times New Roman"/>
          <w:sz w:val="24"/>
          <w:szCs w:val="24"/>
        </w:rPr>
        <w:t>qu'elle ne s'est pas affranchie des règles d'ordre public puisqu'elle a signé un contrat de licence avec un producteur qui</w:t>
      </w:r>
      <w:r w:rsidR="00E200CD">
        <w:rPr>
          <w:rFonts w:ascii="Times New Roman" w:hAnsi="Times New Roman"/>
          <w:sz w:val="24"/>
          <w:szCs w:val="24"/>
        </w:rPr>
        <w:t xml:space="preserve"> </w:t>
      </w:r>
      <w:r w:rsidRPr="00E200CD">
        <w:rPr>
          <w:rFonts w:ascii="Times New Roman" w:hAnsi="Times New Roman"/>
          <w:sz w:val="24"/>
          <w:szCs w:val="24"/>
        </w:rPr>
        <w:t>lui a certifié s'être acquitté de toutes ses obligations légales et contractuelles. Elle ajoute que considérer que le licencié</w:t>
      </w:r>
      <w:r w:rsidR="00E200CD">
        <w:rPr>
          <w:rFonts w:ascii="Times New Roman" w:hAnsi="Times New Roman"/>
          <w:sz w:val="24"/>
          <w:szCs w:val="24"/>
        </w:rPr>
        <w:t xml:space="preserve"> </w:t>
      </w:r>
      <w:r w:rsidRPr="00E200CD">
        <w:rPr>
          <w:rFonts w:ascii="Times New Roman" w:hAnsi="Times New Roman"/>
          <w:sz w:val="24"/>
          <w:szCs w:val="24"/>
        </w:rPr>
        <w:t>d'un phonogramme porte atteinte à l'intérêt collectif de la profession de musicien en se fiant aux engagements pris à</w:t>
      </w:r>
      <w:r w:rsidR="00E200CD">
        <w:rPr>
          <w:rFonts w:ascii="Times New Roman" w:hAnsi="Times New Roman"/>
          <w:sz w:val="24"/>
          <w:szCs w:val="24"/>
        </w:rPr>
        <w:t xml:space="preserve"> </w:t>
      </w:r>
      <w:r w:rsidRPr="00E200CD">
        <w:rPr>
          <w:rFonts w:ascii="Times New Roman" w:hAnsi="Times New Roman"/>
          <w:sz w:val="24"/>
          <w:szCs w:val="24"/>
        </w:rPr>
        <w:t>son profit par son cocontractant producteur de ce phonogramme aboutirait à ruiner l'économie des licences</w:t>
      </w:r>
      <w:r w:rsidR="00E200CD">
        <w:rPr>
          <w:rFonts w:ascii="Times New Roman" w:hAnsi="Times New Roman"/>
          <w:sz w:val="24"/>
          <w:szCs w:val="24"/>
        </w:rPr>
        <w:t xml:space="preserve"> </w:t>
      </w:r>
      <w:r w:rsidRPr="00E200CD">
        <w:rPr>
          <w:rFonts w:ascii="Times New Roman" w:hAnsi="Times New Roman"/>
          <w:sz w:val="24"/>
          <w:szCs w:val="24"/>
        </w:rPr>
        <w:t>phonographiques qui sont indispensables à la survie de la production indépendante. Elle soutient que la Spedidam ne</w:t>
      </w:r>
      <w:r w:rsidR="00E200CD">
        <w:rPr>
          <w:rFonts w:ascii="Times New Roman" w:hAnsi="Times New Roman"/>
          <w:sz w:val="24"/>
          <w:szCs w:val="24"/>
        </w:rPr>
        <w:t xml:space="preserve"> </w:t>
      </w:r>
      <w:r w:rsidRPr="00E200CD">
        <w:rPr>
          <w:rFonts w:ascii="Times New Roman" w:hAnsi="Times New Roman"/>
          <w:sz w:val="24"/>
          <w:szCs w:val="24"/>
        </w:rPr>
        <w:t>justifie pas du montant du préjudice collectif allégué qui ne saurait excéder l'euro symbolique.</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lastRenderedPageBreak/>
        <w:t>La Spedidam répond que l'exploitation d'un enregistrement en violation des droits exclusifs des artistes-interprètes qui y</w:t>
      </w:r>
      <w:r w:rsidR="00E200CD">
        <w:rPr>
          <w:rFonts w:ascii="Times New Roman" w:hAnsi="Times New Roman"/>
          <w:sz w:val="24"/>
          <w:szCs w:val="24"/>
        </w:rPr>
        <w:t xml:space="preserve"> </w:t>
      </w:r>
      <w:r w:rsidRPr="00E200CD">
        <w:rPr>
          <w:rFonts w:ascii="Times New Roman" w:hAnsi="Times New Roman"/>
          <w:sz w:val="24"/>
          <w:szCs w:val="24"/>
        </w:rPr>
        <w:t>ont participé cause un préjudice à la profession dans son ensemble dont elle est statutairement chargée de défendre les</w:t>
      </w:r>
      <w:r w:rsidR="00E200CD">
        <w:rPr>
          <w:rFonts w:ascii="Times New Roman" w:hAnsi="Times New Roman"/>
          <w:sz w:val="24"/>
          <w:szCs w:val="24"/>
        </w:rPr>
        <w:t xml:space="preserve"> </w:t>
      </w:r>
      <w:r w:rsidRPr="00E200CD">
        <w:rPr>
          <w:rFonts w:ascii="Times New Roman" w:hAnsi="Times New Roman"/>
          <w:sz w:val="24"/>
          <w:szCs w:val="24"/>
        </w:rPr>
        <w:t>intérêts. Elle relève que la société Universal, professionnel averti de l'industrie phonographique, s'affranchit des règles</w:t>
      </w:r>
      <w:r w:rsidR="00E200CD">
        <w:rPr>
          <w:rFonts w:ascii="Times New Roman" w:hAnsi="Times New Roman"/>
          <w:sz w:val="24"/>
          <w:szCs w:val="24"/>
        </w:rPr>
        <w:t xml:space="preserve"> </w:t>
      </w:r>
      <w:r w:rsidRPr="00E200CD">
        <w:rPr>
          <w:rFonts w:ascii="Times New Roman" w:hAnsi="Times New Roman"/>
          <w:sz w:val="24"/>
          <w:szCs w:val="24"/>
        </w:rPr>
        <w:t>d'ordre public.</w:t>
      </w:r>
    </w:p>
    <w:p w:rsidR="00E200CD" w:rsidRDefault="00E200CD" w:rsidP="00E200CD">
      <w:pPr>
        <w:pStyle w:val="p1"/>
        <w:spacing w:line="276" w:lineRule="auto"/>
        <w:jc w:val="both"/>
        <w:rPr>
          <w:rFonts w:ascii="Times New Roman" w:hAnsi="Times New Roman"/>
          <w:sz w:val="24"/>
          <w:szCs w:val="24"/>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En vertu de l'article 3 de ses statuts, la Spedidam a qualité pour ester en justice dans l'intérêt collectif de la profession</w:t>
      </w:r>
      <w:r w:rsidR="00E200CD">
        <w:rPr>
          <w:rFonts w:ascii="Times New Roman" w:hAnsi="Times New Roman"/>
          <w:sz w:val="24"/>
          <w:szCs w:val="24"/>
        </w:rPr>
        <w:t xml:space="preserve"> </w:t>
      </w:r>
      <w:r w:rsidRPr="00E200CD">
        <w:rPr>
          <w:rFonts w:ascii="Times New Roman" w:hAnsi="Times New Roman"/>
          <w:sz w:val="24"/>
          <w:szCs w:val="24"/>
        </w:rPr>
        <w:t>pour faire respecter les droits reconnus aux artistes-interprètes.</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En vertu de l'article 1240 du code civil, tout fait quelconque de l'homme, qui cause à autrui un dommage, oblige celui par</w:t>
      </w:r>
      <w:r w:rsidR="00E200CD">
        <w:rPr>
          <w:rFonts w:ascii="Times New Roman" w:hAnsi="Times New Roman"/>
          <w:sz w:val="24"/>
          <w:szCs w:val="24"/>
        </w:rPr>
        <w:t xml:space="preserve"> </w:t>
      </w:r>
      <w:r w:rsidRPr="00E200CD">
        <w:rPr>
          <w:rFonts w:ascii="Times New Roman" w:hAnsi="Times New Roman"/>
          <w:sz w:val="24"/>
          <w:szCs w:val="24"/>
        </w:rPr>
        <w:t>la faute duquel il est arrivé à le réparer.</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 xml:space="preserve">Comme </w:t>
      </w:r>
      <w:proofErr w:type="gramStart"/>
      <w:r w:rsidRPr="00E200CD">
        <w:rPr>
          <w:rFonts w:ascii="Times New Roman" w:hAnsi="Times New Roman"/>
          <w:sz w:val="24"/>
          <w:szCs w:val="24"/>
        </w:rPr>
        <w:t>l</w:t>
      </w:r>
      <w:r w:rsidR="006B55E6">
        <w:rPr>
          <w:rFonts w:ascii="Times New Roman" w:hAnsi="Times New Roman"/>
          <w:sz w:val="24"/>
          <w:szCs w:val="24"/>
        </w:rPr>
        <w:t>e</w:t>
      </w:r>
      <w:r w:rsidRPr="00E200CD">
        <w:rPr>
          <w:rFonts w:ascii="Times New Roman" w:hAnsi="Times New Roman"/>
          <w:sz w:val="24"/>
          <w:szCs w:val="24"/>
        </w:rPr>
        <w:t xml:space="preserve"> relève</w:t>
      </w:r>
      <w:proofErr w:type="gramEnd"/>
      <w:r w:rsidRPr="00E200CD">
        <w:rPr>
          <w:rFonts w:ascii="Times New Roman" w:hAnsi="Times New Roman"/>
          <w:sz w:val="24"/>
          <w:szCs w:val="24"/>
        </w:rPr>
        <w:t xml:space="preserve"> à juste titre la Spedidam, le contrat de licence dont se prévaut la société Universal pour exploiter</w:t>
      </w:r>
      <w:r w:rsidR="00E200CD">
        <w:rPr>
          <w:rFonts w:ascii="Times New Roman" w:hAnsi="Times New Roman"/>
          <w:sz w:val="24"/>
          <w:szCs w:val="24"/>
        </w:rPr>
        <w:t xml:space="preserve"> </w:t>
      </w:r>
      <w:r w:rsidRPr="00E200CD">
        <w:rPr>
          <w:rFonts w:ascii="Times New Roman" w:hAnsi="Times New Roman"/>
          <w:sz w:val="24"/>
          <w:szCs w:val="24"/>
        </w:rPr>
        <w:t>l'enregistrement n'indiquait pas que les artistes-interprètes l'avaient autorisée et il appartenait à l'appelante,</w:t>
      </w:r>
      <w:r w:rsidR="00E200CD">
        <w:rPr>
          <w:rFonts w:ascii="Times New Roman" w:hAnsi="Times New Roman"/>
          <w:sz w:val="24"/>
          <w:szCs w:val="24"/>
        </w:rPr>
        <w:t xml:space="preserve"> </w:t>
      </w:r>
      <w:r w:rsidRPr="00E200CD">
        <w:rPr>
          <w:rFonts w:ascii="Times New Roman" w:hAnsi="Times New Roman"/>
          <w:sz w:val="24"/>
          <w:szCs w:val="24"/>
        </w:rPr>
        <w:t>professionnelle avertie, de s'assurer de l'existence de cette autorisation.</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De plus, en dépit des demandes de la société de gestion, la société Universel a refusé de régler les sommes dues à 73</w:t>
      </w:r>
      <w:r w:rsidR="00E200CD">
        <w:rPr>
          <w:rFonts w:ascii="Times New Roman" w:hAnsi="Times New Roman"/>
          <w:sz w:val="24"/>
          <w:szCs w:val="24"/>
        </w:rPr>
        <w:t xml:space="preserve"> </w:t>
      </w:r>
      <w:r w:rsidRPr="00E200CD">
        <w:rPr>
          <w:rFonts w:ascii="Times New Roman" w:hAnsi="Times New Roman"/>
          <w:sz w:val="24"/>
          <w:szCs w:val="24"/>
        </w:rPr>
        <w:t>musiciens.</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Cette violation délibérée et persistante des droits des artistes-interprètes a causé un préjudice moral à la profession des</w:t>
      </w:r>
      <w:r w:rsidR="00E200CD">
        <w:rPr>
          <w:rFonts w:ascii="Times New Roman" w:hAnsi="Times New Roman"/>
          <w:sz w:val="24"/>
          <w:szCs w:val="24"/>
        </w:rPr>
        <w:t xml:space="preserve"> </w:t>
      </w:r>
      <w:r w:rsidRPr="00E200CD">
        <w:rPr>
          <w:rFonts w:ascii="Times New Roman" w:hAnsi="Times New Roman"/>
          <w:sz w:val="24"/>
          <w:szCs w:val="24"/>
        </w:rPr>
        <w:t>artistes-interprètes qui sera indemnisé à hauteur de 5</w:t>
      </w:r>
      <w:r w:rsidR="00E200CD">
        <w:rPr>
          <w:rFonts w:ascii="Times New Roman" w:hAnsi="Times New Roman"/>
          <w:sz w:val="24"/>
          <w:szCs w:val="24"/>
        </w:rPr>
        <w:t xml:space="preserve"> </w:t>
      </w:r>
      <w:r w:rsidRPr="00E200CD">
        <w:rPr>
          <w:rFonts w:ascii="Times New Roman" w:hAnsi="Times New Roman"/>
          <w:sz w:val="24"/>
          <w:szCs w:val="24"/>
        </w:rPr>
        <w:t>000 euros.</w:t>
      </w:r>
    </w:p>
    <w:p w:rsidR="00E200CD" w:rsidRDefault="00E200CD" w:rsidP="00E200CD">
      <w:pPr>
        <w:pStyle w:val="p1"/>
        <w:spacing w:line="276" w:lineRule="auto"/>
        <w:jc w:val="both"/>
        <w:rPr>
          <w:rFonts w:ascii="Times New Roman" w:hAnsi="Times New Roman"/>
          <w:sz w:val="24"/>
          <w:szCs w:val="24"/>
        </w:rPr>
      </w:pPr>
    </w:p>
    <w:p w:rsidR="00B44367"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Sur les autres demandes</w:t>
      </w:r>
    </w:p>
    <w:p w:rsidR="00E200CD" w:rsidRPr="00E200CD" w:rsidRDefault="00E200CD" w:rsidP="00E200CD">
      <w:pPr>
        <w:pStyle w:val="p1"/>
        <w:spacing w:line="276" w:lineRule="auto"/>
        <w:jc w:val="both"/>
        <w:rPr>
          <w:rFonts w:ascii="Times New Roman" w:hAnsi="Times New Roman"/>
          <w:sz w:val="24"/>
          <w:szCs w:val="24"/>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La solution du litige commande de confirmer le jugement dans ses dispositions sur les dépens et frais irrépétibles.</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En cause d'appel, la société Universal sera également condamnée aux dépens et à indemniser les frais irrépétibles qu'a</w:t>
      </w:r>
    </w:p>
    <w:p w:rsidR="00B44367" w:rsidRPr="00E200CD" w:rsidRDefault="00B44367" w:rsidP="00E200CD">
      <w:pPr>
        <w:pStyle w:val="p1"/>
        <w:spacing w:line="276" w:lineRule="auto"/>
        <w:jc w:val="both"/>
        <w:rPr>
          <w:rFonts w:ascii="Times New Roman" w:hAnsi="Times New Roman"/>
          <w:sz w:val="24"/>
          <w:szCs w:val="24"/>
        </w:rPr>
      </w:pPr>
      <w:proofErr w:type="gramStart"/>
      <w:r w:rsidRPr="00E200CD">
        <w:rPr>
          <w:rFonts w:ascii="Times New Roman" w:hAnsi="Times New Roman"/>
          <w:sz w:val="24"/>
          <w:szCs w:val="24"/>
        </w:rPr>
        <w:t>été</w:t>
      </w:r>
      <w:proofErr w:type="gramEnd"/>
      <w:r w:rsidRPr="00E200CD">
        <w:rPr>
          <w:rFonts w:ascii="Times New Roman" w:hAnsi="Times New Roman"/>
          <w:sz w:val="24"/>
          <w:szCs w:val="24"/>
        </w:rPr>
        <w:t xml:space="preserve"> contrainte d'engager la Spedidam pour assurer sa défense à hauteur de 3 000 euros.</w:t>
      </w:r>
    </w:p>
    <w:p w:rsidR="00E200CD" w:rsidRDefault="00E200CD" w:rsidP="00E200CD">
      <w:pPr>
        <w:rPr>
          <w:rFonts w:ascii="Garamond" w:hAnsi="Garamond"/>
          <w:b/>
          <w:bCs/>
          <w:spacing w:val="-2"/>
        </w:rPr>
      </w:pPr>
      <w:r w:rsidRPr="009335D9">
        <w:rPr>
          <w:rFonts w:ascii="Garamond" w:hAnsi="Garamond"/>
          <w:b/>
          <w:bCs/>
          <w:spacing w:val="-2"/>
        </w:rPr>
        <w:t>{...}</w:t>
      </w:r>
    </w:p>
    <w:p w:rsidR="00E200CD" w:rsidRPr="009335D9" w:rsidRDefault="00E200CD" w:rsidP="00E200CD">
      <w:pPr>
        <w:rPr>
          <w:rFonts w:ascii="Garamond" w:hAnsi="Garamond"/>
          <w:b/>
          <w:bCs/>
          <w:spacing w:val="-2"/>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PAR CES MOTIFS</w:t>
      </w:r>
    </w:p>
    <w:p w:rsidR="00E200CD" w:rsidRDefault="00E200CD" w:rsidP="00E200CD">
      <w:pPr>
        <w:pStyle w:val="p1"/>
        <w:spacing w:line="276" w:lineRule="auto"/>
        <w:jc w:val="both"/>
        <w:rPr>
          <w:rFonts w:ascii="Times New Roman" w:hAnsi="Times New Roman"/>
          <w:sz w:val="24"/>
          <w:szCs w:val="24"/>
        </w:rPr>
      </w:pP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Statuant dans les limites de l'appel,</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Confirme le jugement sauf en ce qu'il a condamné la société Universal Music France à payer à la société de perception et</w:t>
      </w:r>
      <w:r w:rsidR="00E200CD">
        <w:rPr>
          <w:rFonts w:ascii="Times New Roman" w:hAnsi="Times New Roman"/>
          <w:sz w:val="24"/>
          <w:szCs w:val="24"/>
        </w:rPr>
        <w:t xml:space="preserve"> </w:t>
      </w:r>
      <w:r w:rsidRPr="00E200CD">
        <w:rPr>
          <w:rFonts w:ascii="Times New Roman" w:hAnsi="Times New Roman"/>
          <w:sz w:val="24"/>
          <w:szCs w:val="24"/>
        </w:rPr>
        <w:t>de distributions des droits des artistes-interprètes 45 000 euros à titre de dommages et intérêts en réparation des</w:t>
      </w:r>
      <w:r w:rsidR="00E200CD">
        <w:rPr>
          <w:rFonts w:ascii="Times New Roman" w:hAnsi="Times New Roman"/>
          <w:sz w:val="24"/>
          <w:szCs w:val="24"/>
        </w:rPr>
        <w:t xml:space="preserve"> </w:t>
      </w:r>
      <w:r w:rsidRPr="00E200CD">
        <w:rPr>
          <w:rFonts w:ascii="Times New Roman" w:hAnsi="Times New Roman"/>
          <w:sz w:val="24"/>
          <w:szCs w:val="24"/>
        </w:rPr>
        <w:t>atteintes portées aux droits de propriété intellectuelle des artistes-interprètes et de leur profession,</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Statuant à nouveau et y ajoutant,</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Condamne la société Universal Music France à payer à la société de perception et de distribution des droits des artistes</w:t>
      </w:r>
      <w:r w:rsidR="00E200CD">
        <w:rPr>
          <w:rFonts w:ascii="Times New Roman" w:hAnsi="Times New Roman"/>
          <w:sz w:val="24"/>
          <w:szCs w:val="24"/>
        </w:rPr>
        <w:t xml:space="preserve"> </w:t>
      </w:r>
      <w:r w:rsidRPr="00E200CD">
        <w:rPr>
          <w:rFonts w:ascii="Times New Roman" w:hAnsi="Times New Roman"/>
          <w:sz w:val="24"/>
          <w:szCs w:val="24"/>
        </w:rPr>
        <w:t>interprètes :</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- 45 000 euros à titre de dommages-intérêts en réparation du préjudice individuel subi par les artistes-interprètes qu'elle</w:t>
      </w:r>
      <w:r w:rsidR="00E200CD">
        <w:rPr>
          <w:rFonts w:ascii="Times New Roman" w:hAnsi="Times New Roman"/>
          <w:sz w:val="24"/>
          <w:szCs w:val="24"/>
        </w:rPr>
        <w:t xml:space="preserve"> </w:t>
      </w:r>
      <w:r w:rsidRPr="00E200CD">
        <w:rPr>
          <w:rFonts w:ascii="Times New Roman" w:hAnsi="Times New Roman"/>
          <w:sz w:val="24"/>
          <w:szCs w:val="24"/>
        </w:rPr>
        <w:t>représente,</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- 5 000 euros à titre de dommages-intérêts en réparation du préjudice collectif subi par la profession des artistes-interprètes,</w:t>
      </w:r>
    </w:p>
    <w:p w:rsidR="00B44367" w:rsidRPr="00E200CD" w:rsidRDefault="00B44367" w:rsidP="00E200CD">
      <w:pPr>
        <w:pStyle w:val="p1"/>
        <w:spacing w:line="276" w:lineRule="auto"/>
        <w:jc w:val="both"/>
        <w:rPr>
          <w:rFonts w:ascii="Times New Roman" w:hAnsi="Times New Roman"/>
          <w:sz w:val="24"/>
          <w:szCs w:val="24"/>
        </w:rPr>
      </w:pPr>
      <w:r w:rsidRPr="00E200CD">
        <w:rPr>
          <w:rFonts w:ascii="Times New Roman" w:hAnsi="Times New Roman"/>
          <w:sz w:val="24"/>
          <w:szCs w:val="24"/>
        </w:rPr>
        <w:t xml:space="preserve">Condamne la société Universal Music France aux dépens d'appel dont distraction au profit de Maître </w:t>
      </w:r>
      <w:proofErr w:type="spellStart"/>
      <w:r w:rsidRPr="00E200CD">
        <w:rPr>
          <w:rFonts w:ascii="Times New Roman" w:hAnsi="Times New Roman"/>
          <w:sz w:val="24"/>
          <w:szCs w:val="24"/>
        </w:rPr>
        <w:t>Guillem</w:t>
      </w:r>
      <w:proofErr w:type="spellEnd"/>
      <w:r w:rsidRPr="00E200CD">
        <w:rPr>
          <w:rFonts w:ascii="Times New Roman" w:hAnsi="Times New Roman"/>
          <w:sz w:val="24"/>
          <w:szCs w:val="24"/>
        </w:rPr>
        <w:t xml:space="preserve"> </w:t>
      </w:r>
      <w:proofErr w:type="spellStart"/>
      <w:r w:rsidRPr="00E200CD">
        <w:rPr>
          <w:rFonts w:ascii="Times New Roman" w:hAnsi="Times New Roman"/>
          <w:sz w:val="24"/>
          <w:szCs w:val="24"/>
        </w:rPr>
        <w:t>Querzola</w:t>
      </w:r>
      <w:proofErr w:type="spellEnd"/>
      <w:r w:rsidRPr="00E200CD">
        <w:rPr>
          <w:rFonts w:ascii="Times New Roman" w:hAnsi="Times New Roman"/>
          <w:sz w:val="24"/>
          <w:szCs w:val="24"/>
        </w:rPr>
        <w:t>,</w:t>
      </w:r>
      <w:r w:rsidR="00E200CD">
        <w:rPr>
          <w:rFonts w:ascii="Times New Roman" w:hAnsi="Times New Roman"/>
          <w:sz w:val="24"/>
          <w:szCs w:val="24"/>
        </w:rPr>
        <w:t xml:space="preserve"> </w:t>
      </w:r>
      <w:r w:rsidRPr="00E200CD">
        <w:rPr>
          <w:rFonts w:ascii="Times New Roman" w:hAnsi="Times New Roman"/>
          <w:sz w:val="24"/>
          <w:szCs w:val="24"/>
        </w:rPr>
        <w:t>conformément aux dispositions de l'article 699 du code de procédure civile,</w:t>
      </w:r>
      <w:r w:rsidR="00E200CD">
        <w:rPr>
          <w:rFonts w:ascii="Times New Roman" w:hAnsi="Times New Roman"/>
          <w:sz w:val="24"/>
          <w:szCs w:val="24"/>
        </w:rPr>
        <w:t xml:space="preserve"> </w:t>
      </w:r>
      <w:r w:rsidRPr="00E200CD">
        <w:rPr>
          <w:rFonts w:ascii="Times New Roman" w:hAnsi="Times New Roman"/>
          <w:sz w:val="24"/>
          <w:szCs w:val="24"/>
        </w:rPr>
        <w:t>Condamne la société Universal Music France à payer à la société de perception et de distribution des droits des artistes</w:t>
      </w:r>
      <w:r w:rsidR="00E200CD">
        <w:rPr>
          <w:rFonts w:ascii="Times New Roman" w:hAnsi="Times New Roman"/>
          <w:sz w:val="24"/>
          <w:szCs w:val="24"/>
        </w:rPr>
        <w:t>-</w:t>
      </w:r>
      <w:r w:rsidRPr="00E200CD">
        <w:rPr>
          <w:rFonts w:ascii="Times New Roman" w:hAnsi="Times New Roman"/>
          <w:sz w:val="24"/>
          <w:szCs w:val="24"/>
        </w:rPr>
        <w:t>interprètes la somme de 3 500 euros au titre de l'article 700 du code de procédure civile.</w:t>
      </w:r>
    </w:p>
    <w:p w:rsidR="00B44367" w:rsidRPr="00E200CD" w:rsidRDefault="00B44367" w:rsidP="00E200CD">
      <w:pPr>
        <w:spacing w:line="276" w:lineRule="auto"/>
        <w:jc w:val="both"/>
        <w:rPr>
          <w:rStyle w:val="Accentuation"/>
          <w:rFonts w:ascii="Times New Roman" w:hAnsi="Times New Roman" w:cs="Times New Roman"/>
          <w:i w:val="0"/>
          <w:iCs w:val="0"/>
          <w:color w:val="000000"/>
        </w:rPr>
      </w:pPr>
    </w:p>
    <w:p w:rsidR="00B44367" w:rsidRPr="00E200CD" w:rsidRDefault="00B44367" w:rsidP="00E200CD">
      <w:pPr>
        <w:spacing w:line="276" w:lineRule="auto"/>
        <w:jc w:val="both"/>
        <w:rPr>
          <w:rFonts w:ascii="Times New Roman" w:hAnsi="Times New Roman" w:cs="Times New Roman"/>
        </w:rPr>
      </w:pPr>
    </w:p>
    <w:p w:rsidR="00B44367" w:rsidRPr="00E200CD" w:rsidRDefault="00B44367" w:rsidP="00E200CD">
      <w:pPr>
        <w:spacing w:line="276" w:lineRule="auto"/>
        <w:jc w:val="both"/>
        <w:rPr>
          <w:rFonts w:ascii="Times New Roman" w:hAnsi="Times New Roman" w:cs="Times New Roman"/>
        </w:rPr>
      </w:pPr>
    </w:p>
    <w:p w:rsidR="00B44367" w:rsidRPr="00E200CD" w:rsidRDefault="00B44367" w:rsidP="00E200CD">
      <w:pPr>
        <w:spacing w:line="276" w:lineRule="auto"/>
        <w:jc w:val="both"/>
        <w:rPr>
          <w:rFonts w:ascii="Times New Roman" w:hAnsi="Times New Roman" w:cs="Times New Roman"/>
        </w:rPr>
      </w:pPr>
    </w:p>
    <w:p w:rsidR="00B44367" w:rsidRPr="00E200CD" w:rsidRDefault="00B44367" w:rsidP="00E200CD">
      <w:pPr>
        <w:spacing w:line="276" w:lineRule="auto"/>
        <w:jc w:val="both"/>
        <w:rPr>
          <w:rFonts w:ascii="Times New Roman" w:hAnsi="Times New Roman" w:cs="Times New Roman"/>
        </w:rPr>
      </w:pPr>
    </w:p>
    <w:p w:rsidR="00B44367" w:rsidRPr="00E200CD" w:rsidRDefault="00B44367" w:rsidP="00E200CD">
      <w:pPr>
        <w:spacing w:line="276" w:lineRule="auto"/>
        <w:jc w:val="both"/>
        <w:rPr>
          <w:rFonts w:ascii="Times New Roman" w:hAnsi="Times New Roman" w:cs="Times New Roman"/>
        </w:rPr>
      </w:pPr>
    </w:p>
    <w:p w:rsidR="00B44367" w:rsidRPr="00E200CD" w:rsidRDefault="00B44367" w:rsidP="00E200CD">
      <w:pPr>
        <w:spacing w:line="276" w:lineRule="auto"/>
        <w:jc w:val="both"/>
        <w:rPr>
          <w:rFonts w:ascii="Times New Roman" w:hAnsi="Times New Roman" w:cs="Times New Roman"/>
        </w:rPr>
      </w:pPr>
    </w:p>
    <w:p w:rsidR="00B44367" w:rsidRPr="00E200CD" w:rsidRDefault="00B44367" w:rsidP="00E200CD">
      <w:pPr>
        <w:spacing w:line="276" w:lineRule="auto"/>
        <w:jc w:val="both"/>
        <w:rPr>
          <w:rFonts w:ascii="Times New Roman" w:hAnsi="Times New Roman" w:cs="Times New Roman"/>
        </w:rPr>
      </w:pPr>
    </w:p>
    <w:p w:rsidR="00E200CD" w:rsidRDefault="00E200CD" w:rsidP="00CE5F45">
      <w:pPr>
        <w:spacing w:line="276" w:lineRule="auto"/>
        <w:jc w:val="both"/>
        <w:rPr>
          <w:rFonts w:ascii="Times New Roman" w:hAnsi="Times New Roman" w:cs="Times New Roman"/>
        </w:rPr>
        <w:sectPr w:rsidR="00E200CD" w:rsidSect="00E200CD">
          <w:type w:val="continuous"/>
          <w:pgSz w:w="11906" w:h="16838"/>
          <w:pgMar w:top="1440" w:right="1080" w:bottom="1440" w:left="1080" w:header="708" w:footer="708" w:gutter="0"/>
          <w:cols w:num="2" w:space="708"/>
          <w:docGrid w:linePitch="360"/>
        </w:sectPr>
      </w:pPr>
    </w:p>
    <w:p w:rsidR="00B44367" w:rsidRPr="008A1AFD" w:rsidRDefault="00B44367" w:rsidP="00CE5F45">
      <w:pPr>
        <w:spacing w:line="276" w:lineRule="auto"/>
        <w:jc w:val="both"/>
        <w:rPr>
          <w:rFonts w:ascii="Times New Roman" w:hAnsi="Times New Roman" w:cs="Times New Roman"/>
        </w:rPr>
      </w:pPr>
    </w:p>
    <w:sectPr w:rsidR="00B44367" w:rsidRPr="008A1AFD" w:rsidSect="008A1AFD">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09D" w:rsidRDefault="0075009D" w:rsidP="00717DD7">
      <w:r>
        <w:separator/>
      </w:r>
    </w:p>
  </w:endnote>
  <w:endnote w:type="continuationSeparator" w:id="0">
    <w:p w:rsidR="0075009D" w:rsidRDefault="0075009D" w:rsidP="0071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367" w:rsidRDefault="00B44367">
    <w:pPr>
      <w:pStyle w:val="Pieddepage"/>
    </w:pPr>
    <w:r>
      <w:rPr>
        <w:noProof/>
        <w:sz w:val="20"/>
      </w:rPr>
      <w:drawing>
        <wp:anchor distT="0" distB="0" distL="0" distR="0" simplePos="0" relativeHeight="251661312" behindDoc="1" locked="0" layoutInCell="1" allowOverlap="1" wp14:anchorId="47BB5C20" wp14:editId="79CA0F4A">
          <wp:simplePos x="0" y="0"/>
          <wp:positionH relativeFrom="page">
            <wp:posOffset>3556000</wp:posOffset>
          </wp:positionH>
          <wp:positionV relativeFrom="page">
            <wp:posOffset>10058400</wp:posOffset>
          </wp:positionV>
          <wp:extent cx="599440" cy="213360"/>
          <wp:effectExtent l="0" t="0" r="0" b="2540"/>
          <wp:wrapNone/>
          <wp:docPr id="655994863" name="Image 655994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99440" cy="213360"/>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59264" behindDoc="1" locked="0" layoutInCell="1" allowOverlap="1" wp14:anchorId="5B516BCA" wp14:editId="5DA10CD5">
              <wp:simplePos x="0" y="0"/>
              <wp:positionH relativeFrom="page">
                <wp:posOffset>1071880</wp:posOffset>
              </wp:positionH>
              <wp:positionV relativeFrom="page">
                <wp:posOffset>10323195</wp:posOffset>
              </wp:positionV>
              <wp:extent cx="5531485"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254000"/>
                      </a:xfrm>
                      <a:prstGeom prst="rect">
                        <a:avLst/>
                      </a:prstGeom>
                    </wps:spPr>
                    <wps:txbx>
                      <w:txbxContent>
                        <w:p w:rsidR="00B44367" w:rsidRDefault="00B44367" w:rsidP="00B44367">
                          <w:pPr>
                            <w:spacing w:before="13"/>
                            <w:ind w:left="2286" w:hanging="2266"/>
                            <w:rPr>
                              <w:sz w:val="16"/>
                            </w:rPr>
                          </w:pPr>
                          <w:r>
                            <w:rPr>
                              <w:color w:val="262626"/>
                              <w:sz w:val="16"/>
                            </w:rPr>
                            <w:t>Cette</w:t>
                          </w:r>
                          <w:r>
                            <w:rPr>
                              <w:color w:val="262626"/>
                              <w:spacing w:val="-6"/>
                              <w:sz w:val="16"/>
                            </w:rPr>
                            <w:t xml:space="preserve"> </w:t>
                          </w:r>
                          <w:r>
                            <w:rPr>
                              <w:color w:val="262626"/>
                              <w:sz w:val="16"/>
                            </w:rPr>
                            <w:t>création</w:t>
                          </w:r>
                          <w:r>
                            <w:rPr>
                              <w:color w:val="262626"/>
                              <w:spacing w:val="-6"/>
                              <w:sz w:val="16"/>
                            </w:rPr>
                            <w:t xml:space="preserve"> </w:t>
                          </w:r>
                          <w:r>
                            <w:rPr>
                              <w:color w:val="262626"/>
                              <w:sz w:val="16"/>
                            </w:rPr>
                            <w:t>par</w:t>
                          </w:r>
                          <w:r>
                            <w:rPr>
                              <w:color w:val="262626"/>
                              <w:spacing w:val="-6"/>
                              <w:sz w:val="16"/>
                            </w:rPr>
                            <w:t xml:space="preserve"> </w:t>
                          </w:r>
                          <w:r>
                            <w:rPr>
                              <w:color w:val="1F3576"/>
                              <w:sz w:val="16"/>
                            </w:rPr>
                            <w:t>LID2MS-IREDIC</w:t>
                          </w:r>
                          <w:r>
                            <w:rPr>
                              <w:color w:val="1F3576"/>
                              <w:spacing w:val="-4"/>
                              <w:sz w:val="16"/>
                            </w:rPr>
                            <w:t xml:space="preserve"> </w:t>
                          </w:r>
                          <w:r>
                            <w:rPr>
                              <w:color w:val="262626"/>
                              <w:sz w:val="16"/>
                            </w:rPr>
                            <w:t>est</w:t>
                          </w:r>
                          <w:r>
                            <w:rPr>
                              <w:color w:val="262626"/>
                              <w:spacing w:val="-6"/>
                              <w:sz w:val="16"/>
                            </w:rPr>
                            <w:t xml:space="preserve"> </w:t>
                          </w:r>
                          <w:r>
                            <w:rPr>
                              <w:color w:val="262626"/>
                              <w:sz w:val="16"/>
                            </w:rPr>
                            <w:t>mise</w:t>
                          </w:r>
                          <w:r>
                            <w:rPr>
                              <w:color w:val="262626"/>
                              <w:spacing w:val="-6"/>
                              <w:sz w:val="16"/>
                            </w:rPr>
                            <w:t xml:space="preserve"> </w:t>
                          </w:r>
                          <w:r>
                            <w:rPr>
                              <w:color w:val="262626"/>
                              <w:sz w:val="16"/>
                            </w:rPr>
                            <w:t>à</w:t>
                          </w:r>
                          <w:r>
                            <w:rPr>
                              <w:color w:val="262626"/>
                              <w:spacing w:val="-6"/>
                              <w:sz w:val="16"/>
                            </w:rPr>
                            <w:t xml:space="preserve"> </w:t>
                          </w:r>
                          <w:r>
                            <w:rPr>
                              <w:color w:val="262626"/>
                              <w:sz w:val="16"/>
                            </w:rPr>
                            <w:t>disposition</w:t>
                          </w:r>
                          <w:r>
                            <w:rPr>
                              <w:color w:val="262626"/>
                              <w:spacing w:val="-6"/>
                              <w:sz w:val="16"/>
                            </w:rPr>
                            <w:t xml:space="preserve"> </w:t>
                          </w:r>
                          <w:r>
                            <w:rPr>
                              <w:color w:val="262626"/>
                              <w:sz w:val="16"/>
                            </w:rPr>
                            <w:t>selon</w:t>
                          </w:r>
                          <w:r>
                            <w:rPr>
                              <w:color w:val="262626"/>
                              <w:spacing w:val="-6"/>
                              <w:sz w:val="16"/>
                            </w:rPr>
                            <w:t xml:space="preserve"> </w:t>
                          </w:r>
                          <w:r>
                            <w:rPr>
                              <w:color w:val="262626"/>
                              <w:sz w:val="16"/>
                            </w:rPr>
                            <w:t>les</w:t>
                          </w:r>
                          <w:r>
                            <w:rPr>
                              <w:color w:val="262626"/>
                              <w:spacing w:val="-6"/>
                              <w:sz w:val="16"/>
                            </w:rPr>
                            <w:t xml:space="preserve"> </w:t>
                          </w:r>
                          <w:r>
                            <w:rPr>
                              <w:color w:val="262626"/>
                              <w:sz w:val="16"/>
                            </w:rPr>
                            <w:t>termes</w:t>
                          </w:r>
                          <w:r>
                            <w:rPr>
                              <w:color w:val="262626"/>
                              <w:spacing w:val="-6"/>
                              <w:sz w:val="16"/>
                            </w:rPr>
                            <w:t xml:space="preserve"> </w:t>
                          </w:r>
                          <w:r>
                            <w:rPr>
                              <w:color w:val="262626"/>
                              <w:sz w:val="16"/>
                            </w:rPr>
                            <w:t>de</w:t>
                          </w:r>
                          <w:r>
                            <w:rPr>
                              <w:color w:val="262626"/>
                              <w:spacing w:val="-6"/>
                              <w:sz w:val="16"/>
                            </w:rPr>
                            <w:t xml:space="preserve"> </w:t>
                          </w:r>
                          <w:r>
                            <w:rPr>
                              <w:color w:val="262626"/>
                              <w:sz w:val="16"/>
                            </w:rPr>
                            <w:t>la</w:t>
                          </w:r>
                          <w:r>
                            <w:rPr>
                              <w:color w:val="262626"/>
                              <w:spacing w:val="-6"/>
                              <w:sz w:val="16"/>
                            </w:rPr>
                            <w:t xml:space="preserve"> </w:t>
                          </w:r>
                          <w:r>
                            <w:rPr>
                              <w:color w:val="1F3576"/>
                              <w:sz w:val="16"/>
                            </w:rPr>
                            <w:t>licence</w:t>
                          </w:r>
                          <w:r>
                            <w:rPr>
                              <w:color w:val="1F3576"/>
                              <w:spacing w:val="-6"/>
                              <w:sz w:val="16"/>
                            </w:rPr>
                            <w:t xml:space="preserve"> </w:t>
                          </w:r>
                          <w:r>
                            <w:rPr>
                              <w:color w:val="1F3576"/>
                              <w:sz w:val="16"/>
                            </w:rPr>
                            <w:t>Creative</w:t>
                          </w:r>
                          <w:r>
                            <w:rPr>
                              <w:color w:val="1F3576"/>
                              <w:spacing w:val="-5"/>
                              <w:sz w:val="16"/>
                            </w:rPr>
                            <w:t xml:space="preserve"> </w:t>
                          </w:r>
                          <w:r>
                            <w:rPr>
                              <w:color w:val="1F3576"/>
                              <w:sz w:val="16"/>
                            </w:rPr>
                            <w:t>Commons</w:t>
                          </w:r>
                          <w:r>
                            <w:rPr>
                              <w:color w:val="1F3576"/>
                              <w:spacing w:val="-6"/>
                              <w:sz w:val="16"/>
                            </w:rPr>
                            <w:t xml:space="preserve"> </w:t>
                          </w:r>
                          <w:r>
                            <w:rPr>
                              <w:color w:val="1F3576"/>
                              <w:sz w:val="16"/>
                            </w:rPr>
                            <w:t>Paternité</w:t>
                          </w:r>
                          <w:r>
                            <w:rPr>
                              <w:color w:val="1F3576"/>
                              <w:spacing w:val="-5"/>
                              <w:sz w:val="16"/>
                            </w:rPr>
                            <w:t xml:space="preserve"> </w:t>
                          </w:r>
                          <w:r>
                            <w:rPr>
                              <w:color w:val="1F3576"/>
                              <w:sz w:val="16"/>
                            </w:rPr>
                            <w:t>-</w:t>
                          </w:r>
                          <w:r>
                            <w:rPr>
                              <w:color w:val="1F3576"/>
                              <w:spacing w:val="-6"/>
                              <w:sz w:val="16"/>
                            </w:rPr>
                            <w:t xml:space="preserve"> </w:t>
                          </w:r>
                          <w:r>
                            <w:rPr>
                              <w:color w:val="1F3576"/>
                              <w:sz w:val="16"/>
                            </w:rPr>
                            <w:t>Pas d'Utilisation Commerciale - Pas de Modification 2.0 France</w:t>
                          </w:r>
                          <w:r>
                            <w:rPr>
                              <w:color w:val="262626"/>
                              <w:sz w:val="16"/>
                            </w:rPr>
                            <w:t>.</w:t>
                          </w:r>
                        </w:p>
                      </w:txbxContent>
                    </wps:txbx>
                    <wps:bodyPr wrap="square" lIns="0" tIns="0" rIns="0" bIns="0" rtlCol="0">
                      <a:noAutofit/>
                    </wps:bodyPr>
                  </wps:wsp>
                </a:graphicData>
              </a:graphic>
            </wp:anchor>
          </w:drawing>
        </mc:Choice>
        <mc:Fallback>
          <w:pict>
            <v:shapetype w14:anchorId="5B516BCA" id="_x0000_t202" coordsize="21600,21600" o:spt="202" path="m,l,21600r21600,l21600,xe">
              <v:stroke joinstyle="miter"/>
              <v:path gradientshapeok="t" o:connecttype="rect"/>
            </v:shapetype>
            <v:shape id="Textbox 2" o:spid="_x0000_s1027" type="#_x0000_t202" style="position:absolute;margin-left:84.4pt;margin-top:812.85pt;width:435.55pt;height:20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" filled="f" stroked="f">
              <v:textbox inset="0,0,0,0">
                <w:txbxContent>
                  <w:p w:rsidR="00B44367" w:rsidRDefault="00B44367" w:rsidP="00B44367">
                    <w:pPr>
                      <w:spacing w:before="13"/>
                      <w:ind w:left="2286" w:hanging="2266"/>
                      <w:rPr>
                        <w:sz w:val="16"/>
                      </w:rPr>
                    </w:pPr>
                    <w:r>
                      <w:rPr>
                        <w:color w:val="262626"/>
                        <w:sz w:val="16"/>
                      </w:rPr>
                      <w:t>Cette</w:t>
                    </w:r>
                    <w:r>
                      <w:rPr>
                        <w:color w:val="262626"/>
                        <w:spacing w:val="-6"/>
                        <w:sz w:val="16"/>
                      </w:rPr>
                      <w:t xml:space="preserve"> </w:t>
                    </w:r>
                    <w:r>
                      <w:rPr>
                        <w:color w:val="262626"/>
                        <w:sz w:val="16"/>
                      </w:rPr>
                      <w:t>création</w:t>
                    </w:r>
                    <w:r>
                      <w:rPr>
                        <w:color w:val="262626"/>
                        <w:spacing w:val="-6"/>
                        <w:sz w:val="16"/>
                      </w:rPr>
                      <w:t xml:space="preserve"> </w:t>
                    </w:r>
                    <w:r>
                      <w:rPr>
                        <w:color w:val="262626"/>
                        <w:sz w:val="16"/>
                      </w:rPr>
                      <w:t>par</w:t>
                    </w:r>
                    <w:r>
                      <w:rPr>
                        <w:color w:val="262626"/>
                        <w:spacing w:val="-6"/>
                        <w:sz w:val="16"/>
                      </w:rPr>
                      <w:t xml:space="preserve"> </w:t>
                    </w:r>
                    <w:r>
                      <w:rPr>
                        <w:color w:val="1F3576"/>
                        <w:sz w:val="16"/>
                      </w:rPr>
                      <w:t>LID2MS-IREDIC</w:t>
                    </w:r>
                    <w:r>
                      <w:rPr>
                        <w:color w:val="1F3576"/>
                        <w:spacing w:val="-4"/>
                        <w:sz w:val="16"/>
                      </w:rPr>
                      <w:t xml:space="preserve"> </w:t>
                    </w:r>
                    <w:r>
                      <w:rPr>
                        <w:color w:val="262626"/>
                        <w:sz w:val="16"/>
                      </w:rPr>
                      <w:t>est</w:t>
                    </w:r>
                    <w:r>
                      <w:rPr>
                        <w:color w:val="262626"/>
                        <w:spacing w:val="-6"/>
                        <w:sz w:val="16"/>
                      </w:rPr>
                      <w:t xml:space="preserve"> </w:t>
                    </w:r>
                    <w:r>
                      <w:rPr>
                        <w:color w:val="262626"/>
                        <w:sz w:val="16"/>
                      </w:rPr>
                      <w:t>mise</w:t>
                    </w:r>
                    <w:r>
                      <w:rPr>
                        <w:color w:val="262626"/>
                        <w:spacing w:val="-6"/>
                        <w:sz w:val="16"/>
                      </w:rPr>
                      <w:t xml:space="preserve"> </w:t>
                    </w:r>
                    <w:r>
                      <w:rPr>
                        <w:color w:val="262626"/>
                        <w:sz w:val="16"/>
                      </w:rPr>
                      <w:t>à</w:t>
                    </w:r>
                    <w:r>
                      <w:rPr>
                        <w:color w:val="262626"/>
                        <w:spacing w:val="-6"/>
                        <w:sz w:val="16"/>
                      </w:rPr>
                      <w:t xml:space="preserve"> </w:t>
                    </w:r>
                    <w:r>
                      <w:rPr>
                        <w:color w:val="262626"/>
                        <w:sz w:val="16"/>
                      </w:rPr>
                      <w:t>disposition</w:t>
                    </w:r>
                    <w:r>
                      <w:rPr>
                        <w:color w:val="262626"/>
                        <w:spacing w:val="-6"/>
                        <w:sz w:val="16"/>
                      </w:rPr>
                      <w:t xml:space="preserve"> </w:t>
                    </w:r>
                    <w:r>
                      <w:rPr>
                        <w:color w:val="262626"/>
                        <w:sz w:val="16"/>
                      </w:rPr>
                      <w:t>selon</w:t>
                    </w:r>
                    <w:r>
                      <w:rPr>
                        <w:color w:val="262626"/>
                        <w:spacing w:val="-6"/>
                        <w:sz w:val="16"/>
                      </w:rPr>
                      <w:t xml:space="preserve"> </w:t>
                    </w:r>
                    <w:r>
                      <w:rPr>
                        <w:color w:val="262626"/>
                        <w:sz w:val="16"/>
                      </w:rPr>
                      <w:t>les</w:t>
                    </w:r>
                    <w:r>
                      <w:rPr>
                        <w:color w:val="262626"/>
                        <w:spacing w:val="-6"/>
                        <w:sz w:val="16"/>
                      </w:rPr>
                      <w:t xml:space="preserve"> </w:t>
                    </w:r>
                    <w:r>
                      <w:rPr>
                        <w:color w:val="262626"/>
                        <w:sz w:val="16"/>
                      </w:rPr>
                      <w:t>termes</w:t>
                    </w:r>
                    <w:r>
                      <w:rPr>
                        <w:color w:val="262626"/>
                        <w:spacing w:val="-6"/>
                        <w:sz w:val="16"/>
                      </w:rPr>
                      <w:t xml:space="preserve"> </w:t>
                    </w:r>
                    <w:r>
                      <w:rPr>
                        <w:color w:val="262626"/>
                        <w:sz w:val="16"/>
                      </w:rPr>
                      <w:t>de</w:t>
                    </w:r>
                    <w:r>
                      <w:rPr>
                        <w:color w:val="262626"/>
                        <w:spacing w:val="-6"/>
                        <w:sz w:val="16"/>
                      </w:rPr>
                      <w:t xml:space="preserve"> </w:t>
                    </w:r>
                    <w:r>
                      <w:rPr>
                        <w:color w:val="262626"/>
                        <w:sz w:val="16"/>
                      </w:rPr>
                      <w:t>la</w:t>
                    </w:r>
                    <w:r>
                      <w:rPr>
                        <w:color w:val="262626"/>
                        <w:spacing w:val="-6"/>
                        <w:sz w:val="16"/>
                      </w:rPr>
                      <w:t xml:space="preserve"> </w:t>
                    </w:r>
                    <w:r>
                      <w:rPr>
                        <w:color w:val="1F3576"/>
                        <w:sz w:val="16"/>
                      </w:rPr>
                      <w:t>licence</w:t>
                    </w:r>
                    <w:r>
                      <w:rPr>
                        <w:color w:val="1F3576"/>
                        <w:spacing w:val="-6"/>
                        <w:sz w:val="16"/>
                      </w:rPr>
                      <w:t xml:space="preserve"> </w:t>
                    </w:r>
                    <w:r>
                      <w:rPr>
                        <w:color w:val="1F3576"/>
                        <w:sz w:val="16"/>
                      </w:rPr>
                      <w:t>Creative</w:t>
                    </w:r>
                    <w:r>
                      <w:rPr>
                        <w:color w:val="1F3576"/>
                        <w:spacing w:val="-5"/>
                        <w:sz w:val="16"/>
                      </w:rPr>
                      <w:t xml:space="preserve"> </w:t>
                    </w:r>
                    <w:r>
                      <w:rPr>
                        <w:color w:val="1F3576"/>
                        <w:sz w:val="16"/>
                      </w:rPr>
                      <w:t>Commons</w:t>
                    </w:r>
                    <w:r>
                      <w:rPr>
                        <w:color w:val="1F3576"/>
                        <w:spacing w:val="-6"/>
                        <w:sz w:val="16"/>
                      </w:rPr>
                      <w:t xml:space="preserve"> </w:t>
                    </w:r>
                    <w:r>
                      <w:rPr>
                        <w:color w:val="1F3576"/>
                        <w:sz w:val="16"/>
                      </w:rPr>
                      <w:t>Paternité</w:t>
                    </w:r>
                    <w:r>
                      <w:rPr>
                        <w:color w:val="1F3576"/>
                        <w:spacing w:val="-5"/>
                        <w:sz w:val="16"/>
                      </w:rPr>
                      <w:t xml:space="preserve"> </w:t>
                    </w:r>
                    <w:r>
                      <w:rPr>
                        <w:color w:val="1F3576"/>
                        <w:sz w:val="16"/>
                      </w:rPr>
                      <w:t>-</w:t>
                    </w:r>
                    <w:r>
                      <w:rPr>
                        <w:color w:val="1F3576"/>
                        <w:spacing w:val="-6"/>
                        <w:sz w:val="16"/>
                      </w:rPr>
                      <w:t xml:space="preserve"> </w:t>
                    </w:r>
                    <w:r>
                      <w:rPr>
                        <w:color w:val="1F3576"/>
                        <w:sz w:val="16"/>
                      </w:rPr>
                      <w:t>Pas d'Utilisation Commerciale - Pas de Modification 2.0 France</w:t>
                    </w:r>
                    <w:r>
                      <w:rPr>
                        <w:color w:val="262626"/>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09D" w:rsidRDefault="0075009D" w:rsidP="00717DD7">
      <w:r>
        <w:separator/>
      </w:r>
    </w:p>
  </w:footnote>
  <w:footnote w:type="continuationSeparator" w:id="0">
    <w:p w:rsidR="0075009D" w:rsidRDefault="0075009D" w:rsidP="00717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F8C"/>
    <w:multiLevelType w:val="hybridMultilevel"/>
    <w:tmpl w:val="9AB8F68A"/>
    <w:lvl w:ilvl="0" w:tplc="77CC6AF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61A11"/>
    <w:multiLevelType w:val="hybridMultilevel"/>
    <w:tmpl w:val="8458BDA0"/>
    <w:lvl w:ilvl="0" w:tplc="F282058E">
      <w:numFmt w:val="bullet"/>
      <w:lvlText w:val="-"/>
      <w:lvlJc w:val="left"/>
      <w:pPr>
        <w:ind w:left="720" w:hanging="360"/>
      </w:pPr>
      <w:rPr>
        <w:rFonts w:ascii="Avenir Book" w:eastAsiaTheme="minorHAnsi" w:hAnsi="Avenir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216D3D"/>
    <w:multiLevelType w:val="hybridMultilevel"/>
    <w:tmpl w:val="E90879D6"/>
    <w:lvl w:ilvl="0" w:tplc="C9241CBE">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9D64E8"/>
    <w:multiLevelType w:val="hybridMultilevel"/>
    <w:tmpl w:val="4372B8E4"/>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8DC76B7"/>
    <w:multiLevelType w:val="hybridMultilevel"/>
    <w:tmpl w:val="217E5308"/>
    <w:lvl w:ilvl="0" w:tplc="BE88E516">
      <w:start w:val="2"/>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C0A60B4"/>
    <w:multiLevelType w:val="hybridMultilevel"/>
    <w:tmpl w:val="E9B433F4"/>
    <w:lvl w:ilvl="0" w:tplc="8C52A914">
      <w:numFmt w:val="bullet"/>
      <w:lvlText w:val="-"/>
      <w:lvlJc w:val="left"/>
      <w:pPr>
        <w:ind w:left="720" w:hanging="360"/>
      </w:pPr>
      <w:rPr>
        <w:rFonts w:ascii="Avenir Book" w:eastAsiaTheme="minorHAnsi" w:hAnsi="Avenir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9463249">
    <w:abstractNumId w:val="5"/>
  </w:num>
  <w:num w:numId="2" w16cid:durableId="468012970">
    <w:abstractNumId w:val="1"/>
  </w:num>
  <w:num w:numId="3" w16cid:durableId="121659516">
    <w:abstractNumId w:val="0"/>
  </w:num>
  <w:num w:numId="4" w16cid:durableId="1937906476">
    <w:abstractNumId w:val="3"/>
  </w:num>
  <w:num w:numId="5" w16cid:durableId="585306802">
    <w:abstractNumId w:val="2"/>
  </w:num>
  <w:num w:numId="6" w16cid:durableId="1326856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78"/>
    <w:rsid w:val="000676C2"/>
    <w:rsid w:val="000D4A21"/>
    <w:rsid w:val="000E3B65"/>
    <w:rsid w:val="00146AC6"/>
    <w:rsid w:val="00150098"/>
    <w:rsid w:val="0018431C"/>
    <w:rsid w:val="00186931"/>
    <w:rsid w:val="001A04D4"/>
    <w:rsid w:val="001F2877"/>
    <w:rsid w:val="00203ACE"/>
    <w:rsid w:val="00205FC0"/>
    <w:rsid w:val="00272FED"/>
    <w:rsid w:val="00276039"/>
    <w:rsid w:val="002B1231"/>
    <w:rsid w:val="002C2F66"/>
    <w:rsid w:val="00302C78"/>
    <w:rsid w:val="00334B22"/>
    <w:rsid w:val="00345FA7"/>
    <w:rsid w:val="0037477C"/>
    <w:rsid w:val="00375A95"/>
    <w:rsid w:val="00393DBA"/>
    <w:rsid w:val="003D30EF"/>
    <w:rsid w:val="004460AB"/>
    <w:rsid w:val="00477F15"/>
    <w:rsid w:val="00484FD7"/>
    <w:rsid w:val="004B0312"/>
    <w:rsid w:val="0052582E"/>
    <w:rsid w:val="00540A06"/>
    <w:rsid w:val="00545A1C"/>
    <w:rsid w:val="00604E35"/>
    <w:rsid w:val="00612D04"/>
    <w:rsid w:val="00661FF4"/>
    <w:rsid w:val="006B327C"/>
    <w:rsid w:val="006B55E6"/>
    <w:rsid w:val="006D3B90"/>
    <w:rsid w:val="006D7367"/>
    <w:rsid w:val="006F674B"/>
    <w:rsid w:val="00702070"/>
    <w:rsid w:val="00717B26"/>
    <w:rsid w:val="00717DD7"/>
    <w:rsid w:val="00723D45"/>
    <w:rsid w:val="007367DD"/>
    <w:rsid w:val="0075009D"/>
    <w:rsid w:val="007B05C8"/>
    <w:rsid w:val="007B6C9F"/>
    <w:rsid w:val="007C606E"/>
    <w:rsid w:val="008026A3"/>
    <w:rsid w:val="0088591E"/>
    <w:rsid w:val="00886BC9"/>
    <w:rsid w:val="008A1AFD"/>
    <w:rsid w:val="008B522A"/>
    <w:rsid w:val="008C5E3D"/>
    <w:rsid w:val="008F5358"/>
    <w:rsid w:val="009C167D"/>
    <w:rsid w:val="009D4CD6"/>
    <w:rsid w:val="00AA1A3E"/>
    <w:rsid w:val="00AD2691"/>
    <w:rsid w:val="00AF106B"/>
    <w:rsid w:val="00B44367"/>
    <w:rsid w:val="00B92280"/>
    <w:rsid w:val="00B94FD9"/>
    <w:rsid w:val="00BC00DD"/>
    <w:rsid w:val="00BF5F20"/>
    <w:rsid w:val="00C57518"/>
    <w:rsid w:val="00C80F4B"/>
    <w:rsid w:val="00C86329"/>
    <w:rsid w:val="00CD6897"/>
    <w:rsid w:val="00CE5F45"/>
    <w:rsid w:val="00D22330"/>
    <w:rsid w:val="00D477BC"/>
    <w:rsid w:val="00D636E4"/>
    <w:rsid w:val="00D77573"/>
    <w:rsid w:val="00DA5A42"/>
    <w:rsid w:val="00DD4058"/>
    <w:rsid w:val="00DF57EC"/>
    <w:rsid w:val="00E06225"/>
    <w:rsid w:val="00E200CD"/>
    <w:rsid w:val="00E20922"/>
    <w:rsid w:val="00E65737"/>
    <w:rsid w:val="00E74850"/>
    <w:rsid w:val="00EC4657"/>
    <w:rsid w:val="00ED2B23"/>
    <w:rsid w:val="00EE1510"/>
    <w:rsid w:val="00F142C0"/>
    <w:rsid w:val="00F51C03"/>
    <w:rsid w:val="00FB0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601428-30EA-A04F-8E36-160A5685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78"/>
    <w:rPr>
      <w:rFonts w:ascii="Franklin Gothic Book" w:hAnsi="Franklin Gothic Boo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7477C"/>
    <w:rPr>
      <w:i/>
      <w:iCs/>
    </w:rPr>
  </w:style>
  <w:style w:type="paragraph" w:styleId="NormalWeb">
    <w:name w:val="Normal (Web)"/>
    <w:basedOn w:val="Normal"/>
    <w:uiPriority w:val="99"/>
    <w:unhideWhenUsed/>
    <w:rsid w:val="0037477C"/>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aragraphedeliste">
    <w:name w:val="List Paragraph"/>
    <w:basedOn w:val="Normal"/>
    <w:uiPriority w:val="34"/>
    <w:qFormat/>
    <w:rsid w:val="00186931"/>
    <w:pPr>
      <w:ind w:left="720"/>
      <w:contextualSpacing/>
    </w:pPr>
  </w:style>
  <w:style w:type="character" w:customStyle="1" w:styleId="apple-converted-space">
    <w:name w:val="apple-converted-space"/>
    <w:basedOn w:val="Policepardfaut"/>
    <w:rsid w:val="000D4A21"/>
  </w:style>
  <w:style w:type="character" w:styleId="lev">
    <w:name w:val="Strong"/>
    <w:basedOn w:val="Policepardfaut"/>
    <w:uiPriority w:val="22"/>
    <w:qFormat/>
    <w:rsid w:val="000D4A21"/>
    <w:rPr>
      <w:b/>
      <w:bCs/>
    </w:rPr>
  </w:style>
  <w:style w:type="paragraph" w:styleId="En-tte">
    <w:name w:val="header"/>
    <w:basedOn w:val="Normal"/>
    <w:link w:val="En-tteCar"/>
    <w:uiPriority w:val="99"/>
    <w:unhideWhenUsed/>
    <w:rsid w:val="00717DD7"/>
    <w:pPr>
      <w:tabs>
        <w:tab w:val="center" w:pos="4536"/>
        <w:tab w:val="right" w:pos="9072"/>
      </w:tabs>
    </w:pPr>
  </w:style>
  <w:style w:type="character" w:customStyle="1" w:styleId="En-tteCar">
    <w:name w:val="En-tête Car"/>
    <w:basedOn w:val="Policepardfaut"/>
    <w:link w:val="En-tte"/>
    <w:uiPriority w:val="99"/>
    <w:rsid w:val="00717DD7"/>
    <w:rPr>
      <w:rFonts w:ascii="Franklin Gothic Book" w:hAnsi="Franklin Gothic Book"/>
    </w:rPr>
  </w:style>
  <w:style w:type="paragraph" w:styleId="Pieddepage">
    <w:name w:val="footer"/>
    <w:basedOn w:val="Normal"/>
    <w:link w:val="PieddepageCar"/>
    <w:uiPriority w:val="99"/>
    <w:unhideWhenUsed/>
    <w:rsid w:val="00717DD7"/>
    <w:pPr>
      <w:tabs>
        <w:tab w:val="center" w:pos="4536"/>
        <w:tab w:val="right" w:pos="9072"/>
      </w:tabs>
    </w:pPr>
  </w:style>
  <w:style w:type="character" w:customStyle="1" w:styleId="PieddepageCar">
    <w:name w:val="Pied de page Car"/>
    <w:basedOn w:val="Policepardfaut"/>
    <w:link w:val="Pieddepage"/>
    <w:uiPriority w:val="99"/>
    <w:rsid w:val="00717DD7"/>
    <w:rPr>
      <w:rFonts w:ascii="Franklin Gothic Book" w:hAnsi="Franklin Gothic Book"/>
    </w:rPr>
  </w:style>
  <w:style w:type="paragraph" w:customStyle="1" w:styleId="p1">
    <w:name w:val="p1"/>
    <w:basedOn w:val="Normal"/>
    <w:rsid w:val="00B44367"/>
    <w:rPr>
      <w:rFonts w:ascii="Helvetica" w:eastAsia="Times New Roman" w:hAnsi="Helvetica" w:cs="Times New Roman"/>
      <w:color w:val="000000"/>
      <w:kern w:val="0"/>
      <w:sz w:val="15"/>
      <w:szCs w:val="15"/>
      <w:lang w:eastAsia="fr-FR"/>
      <w14:ligatures w14:val="none"/>
    </w:rPr>
  </w:style>
  <w:style w:type="paragraph" w:customStyle="1" w:styleId="p2">
    <w:name w:val="p2"/>
    <w:basedOn w:val="Normal"/>
    <w:rsid w:val="00B44367"/>
    <w:rPr>
      <w:rFonts w:ascii="Helvetica" w:eastAsia="Times New Roman" w:hAnsi="Helvetica" w:cs="Times New Roman"/>
      <w:color w:val="000000"/>
      <w:kern w:val="0"/>
      <w:sz w:val="20"/>
      <w:szCs w:val="20"/>
      <w:lang w:eastAsia="fr-FR"/>
      <w14:ligatures w14:val="none"/>
    </w:rPr>
  </w:style>
  <w:style w:type="paragraph" w:customStyle="1" w:styleId="p3">
    <w:name w:val="p3"/>
    <w:basedOn w:val="Normal"/>
    <w:rsid w:val="00B44367"/>
    <w:rPr>
      <w:rFonts w:ascii="Helvetica" w:eastAsia="Times New Roman" w:hAnsi="Helvetica" w:cs="Times New Roman"/>
      <w:color w:val="000000"/>
      <w:kern w:val="0"/>
      <w:sz w:val="12"/>
      <w:szCs w:val="1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798">
      <w:bodyDiv w:val="1"/>
      <w:marLeft w:val="0"/>
      <w:marRight w:val="0"/>
      <w:marTop w:val="0"/>
      <w:marBottom w:val="0"/>
      <w:divBdr>
        <w:top w:val="none" w:sz="0" w:space="0" w:color="auto"/>
        <w:left w:val="none" w:sz="0" w:space="0" w:color="auto"/>
        <w:bottom w:val="none" w:sz="0" w:space="0" w:color="auto"/>
        <w:right w:val="none" w:sz="0" w:space="0" w:color="auto"/>
      </w:divBdr>
    </w:div>
    <w:div w:id="753287027">
      <w:bodyDiv w:val="1"/>
      <w:marLeft w:val="0"/>
      <w:marRight w:val="0"/>
      <w:marTop w:val="0"/>
      <w:marBottom w:val="0"/>
      <w:divBdr>
        <w:top w:val="none" w:sz="0" w:space="0" w:color="auto"/>
        <w:left w:val="none" w:sz="0" w:space="0" w:color="auto"/>
        <w:bottom w:val="none" w:sz="0" w:space="0" w:color="auto"/>
        <w:right w:val="none" w:sz="0" w:space="0" w:color="auto"/>
      </w:divBdr>
    </w:div>
    <w:div w:id="894967813">
      <w:bodyDiv w:val="1"/>
      <w:marLeft w:val="0"/>
      <w:marRight w:val="0"/>
      <w:marTop w:val="0"/>
      <w:marBottom w:val="0"/>
      <w:divBdr>
        <w:top w:val="none" w:sz="0" w:space="0" w:color="auto"/>
        <w:left w:val="none" w:sz="0" w:space="0" w:color="auto"/>
        <w:bottom w:val="none" w:sz="0" w:space="0" w:color="auto"/>
        <w:right w:val="none" w:sz="0" w:space="0" w:color="auto"/>
      </w:divBdr>
    </w:div>
    <w:div w:id="14916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0A99-B3B0-0D4B-8F16-50C5F831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6</Pages>
  <Words>2515</Words>
  <Characters>13835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PAYAN</dc:creator>
  <cp:keywords/>
  <dc:description/>
  <cp:lastModifiedBy>Morgane PAYAN</cp:lastModifiedBy>
  <cp:revision>178</cp:revision>
  <dcterms:created xsi:type="dcterms:W3CDTF">2025-10-01T14:17:00Z</dcterms:created>
  <dcterms:modified xsi:type="dcterms:W3CDTF">2025-12-23T13:14:00Z</dcterms:modified>
</cp:coreProperties>
</file>