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5C2E" w14:textId="6E95ACE2" w:rsidR="00675BED" w:rsidRPr="00AF0862" w:rsidRDefault="00675BED" w:rsidP="00AF0862">
      <w:pPr>
        <w:spacing w:line="276" w:lineRule="auto"/>
        <w:jc w:val="center"/>
        <w:rPr>
          <w:rFonts w:ascii="Times New Roman" w:hAnsi="Times New Roman" w:cs="Times New Roman"/>
          <w:b/>
          <w:bCs/>
        </w:rPr>
      </w:pPr>
      <w:r w:rsidRPr="00AF0862">
        <w:rPr>
          <w:rFonts w:ascii="Times New Roman" w:hAnsi="Times New Roman" w:cs="Times New Roman"/>
          <w:b/>
          <w:bCs/>
          <w:highlight w:val="darkGray"/>
        </w:rPr>
        <w:t>Cour de Cassation, 14 mai 2025, 23-21.866</w:t>
      </w:r>
    </w:p>
    <w:p w14:paraId="6DD9141C" w14:textId="77777777" w:rsidR="003D2E8B" w:rsidRPr="00AF0862" w:rsidRDefault="003D2E8B" w:rsidP="00AF0862">
      <w:pPr>
        <w:spacing w:line="276" w:lineRule="auto"/>
        <w:jc w:val="both"/>
        <w:rPr>
          <w:rFonts w:ascii="Times New Roman" w:hAnsi="Times New Roman" w:cs="Times New Roman"/>
          <w:sz w:val="22"/>
          <w:szCs w:val="22"/>
        </w:rPr>
      </w:pPr>
    </w:p>
    <w:p w14:paraId="6F53A6C6" w14:textId="6623AC6C" w:rsidR="00675BED" w:rsidRPr="00AF0862" w:rsidRDefault="00675BED" w:rsidP="00AF0862">
      <w:pPr>
        <w:spacing w:line="276" w:lineRule="auto"/>
        <w:jc w:val="both"/>
        <w:rPr>
          <w:rFonts w:ascii="Times New Roman" w:hAnsi="Times New Roman" w:cs="Times New Roman"/>
          <w:b/>
          <w:bCs/>
          <w:sz w:val="22"/>
          <w:szCs w:val="22"/>
        </w:rPr>
      </w:pPr>
      <w:r w:rsidRPr="00AF0862">
        <w:rPr>
          <w:rFonts w:ascii="Times New Roman" w:hAnsi="Times New Roman" w:cs="Times New Roman"/>
          <w:b/>
          <w:bCs/>
          <w:sz w:val="22"/>
          <w:szCs w:val="22"/>
        </w:rPr>
        <w:t>MOTS CLÉS : marques – action en déchéance – défaut d’exploitation sérieuse – sous-catégorie autonome de produits ou de services</w:t>
      </w:r>
    </w:p>
    <w:p w14:paraId="257652F3" w14:textId="77777777" w:rsidR="00675BED" w:rsidRPr="00AF0862" w:rsidRDefault="00675BED" w:rsidP="00AF0862">
      <w:pPr>
        <w:spacing w:line="276" w:lineRule="auto"/>
        <w:jc w:val="both"/>
        <w:rPr>
          <w:rFonts w:ascii="Times New Roman" w:hAnsi="Times New Roman" w:cs="Times New Roman"/>
          <w:sz w:val="22"/>
          <w:szCs w:val="22"/>
        </w:rPr>
      </w:pPr>
    </w:p>
    <w:p w14:paraId="3DECD8AB" w14:textId="6098E721" w:rsidR="00675BED" w:rsidRPr="00AF0862" w:rsidRDefault="00675BED" w:rsidP="00AF0862">
      <w:pPr>
        <w:spacing w:line="276" w:lineRule="auto"/>
        <w:ind w:firstLine="708"/>
        <w:jc w:val="both"/>
        <w:rPr>
          <w:rFonts w:ascii="Times New Roman" w:hAnsi="Times New Roman" w:cs="Times New Roman"/>
          <w:sz w:val="22"/>
          <w:szCs w:val="22"/>
        </w:rPr>
      </w:pPr>
      <w:r w:rsidRPr="00AF0862">
        <w:rPr>
          <w:rFonts w:ascii="Times New Roman" w:hAnsi="Times New Roman" w:cs="Times New Roman"/>
          <w:sz w:val="22"/>
          <w:szCs w:val="22"/>
        </w:rPr>
        <w:t xml:space="preserve">La Cour de cassation est venue, </w:t>
      </w:r>
      <w:r w:rsidR="00F120FF">
        <w:rPr>
          <w:rFonts w:ascii="Times New Roman" w:hAnsi="Times New Roman" w:cs="Times New Roman"/>
          <w:sz w:val="22"/>
          <w:szCs w:val="22"/>
        </w:rPr>
        <w:t xml:space="preserve">dans une décision </w:t>
      </w:r>
      <w:r w:rsidRPr="00AF0862">
        <w:rPr>
          <w:rFonts w:ascii="Times New Roman" w:hAnsi="Times New Roman" w:cs="Times New Roman"/>
          <w:sz w:val="22"/>
          <w:szCs w:val="22"/>
        </w:rPr>
        <w:t>en date du 14 mai 2025, casser l’arrêt de la Cour d’appel de Colmar du 30 aout 2023. Cette dernière avait retenu que</w:t>
      </w:r>
      <w:r w:rsidR="00D01974" w:rsidRPr="00AF0862">
        <w:rPr>
          <w:rFonts w:ascii="Times New Roman" w:hAnsi="Times New Roman" w:cs="Times New Roman"/>
          <w:sz w:val="22"/>
          <w:szCs w:val="22"/>
        </w:rPr>
        <w:t xml:space="preserve"> les produits de la marque litigieuse </w:t>
      </w:r>
      <w:r w:rsidR="00704E65">
        <w:rPr>
          <w:rFonts w:ascii="Times New Roman" w:hAnsi="Times New Roman" w:cs="Times New Roman"/>
          <w:sz w:val="22"/>
          <w:szCs w:val="22"/>
        </w:rPr>
        <w:t>faisaient</w:t>
      </w:r>
      <w:r w:rsidR="00D01974" w:rsidRPr="00AF0862">
        <w:rPr>
          <w:rFonts w:ascii="Times New Roman" w:hAnsi="Times New Roman" w:cs="Times New Roman"/>
          <w:sz w:val="22"/>
          <w:szCs w:val="22"/>
        </w:rPr>
        <w:t xml:space="preserve"> partie de la catégorie large de « cosmétiques », confirmant alors l’usage sérieux qu’en a fait la marque, évitant ainsi sa déchéance. La Cour de cassation rappelle dans cette décision la nécessité de vérifier si les produits ne constituaient pas une sous-catégorie autonome au sein de sa large catégorie. </w:t>
      </w:r>
    </w:p>
    <w:p w14:paraId="3B4A3BFC" w14:textId="77777777" w:rsidR="00D01974" w:rsidRPr="00AF0862" w:rsidRDefault="00D01974" w:rsidP="00AF0862">
      <w:pPr>
        <w:spacing w:line="276" w:lineRule="auto"/>
        <w:jc w:val="both"/>
        <w:rPr>
          <w:rFonts w:ascii="Times New Roman" w:hAnsi="Times New Roman" w:cs="Times New Roman"/>
          <w:sz w:val="22"/>
          <w:szCs w:val="22"/>
        </w:rPr>
      </w:pPr>
    </w:p>
    <w:p w14:paraId="6078BA11" w14:textId="52AAA7EB" w:rsidR="00D01974" w:rsidRPr="00AF0862" w:rsidRDefault="00D01974"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t xml:space="preserve">FAITS : </w:t>
      </w:r>
      <w:r w:rsidR="00704E65">
        <w:rPr>
          <w:rFonts w:ascii="Times New Roman" w:hAnsi="Times New Roman" w:cs="Times New Roman"/>
          <w:sz w:val="22"/>
          <w:szCs w:val="22"/>
        </w:rPr>
        <w:t>L</w:t>
      </w:r>
      <w:r w:rsidRPr="00AF0862">
        <w:rPr>
          <w:rFonts w:ascii="Times New Roman" w:hAnsi="Times New Roman" w:cs="Times New Roman"/>
          <w:sz w:val="22"/>
          <w:szCs w:val="22"/>
        </w:rPr>
        <w:t xml:space="preserve">a société Univers Pharmacie a demandé </w:t>
      </w:r>
      <w:r w:rsidR="0071171D" w:rsidRPr="00AF0862">
        <w:rPr>
          <w:rFonts w:ascii="Times New Roman" w:hAnsi="Times New Roman" w:cs="Times New Roman"/>
          <w:sz w:val="22"/>
          <w:szCs w:val="22"/>
        </w:rPr>
        <w:t>le 1</w:t>
      </w:r>
      <w:r w:rsidR="0071171D" w:rsidRPr="00AF0862">
        <w:rPr>
          <w:rFonts w:ascii="Times New Roman" w:hAnsi="Times New Roman" w:cs="Times New Roman"/>
          <w:sz w:val="22"/>
          <w:szCs w:val="22"/>
          <w:vertAlign w:val="superscript"/>
        </w:rPr>
        <w:t>er</w:t>
      </w:r>
      <w:r w:rsidR="0071171D" w:rsidRPr="00AF0862">
        <w:rPr>
          <w:rFonts w:ascii="Times New Roman" w:hAnsi="Times New Roman" w:cs="Times New Roman"/>
          <w:sz w:val="22"/>
          <w:szCs w:val="22"/>
        </w:rPr>
        <w:t xml:space="preserve"> octobre 2020</w:t>
      </w:r>
      <w:r w:rsidR="008962D9" w:rsidRPr="00AF0862">
        <w:rPr>
          <w:rFonts w:ascii="Times New Roman" w:hAnsi="Times New Roman" w:cs="Times New Roman"/>
          <w:sz w:val="22"/>
          <w:szCs w:val="22"/>
        </w:rPr>
        <w:t>,</w:t>
      </w:r>
      <w:r w:rsidR="0071171D" w:rsidRPr="00AF0862">
        <w:rPr>
          <w:rFonts w:ascii="Times New Roman" w:hAnsi="Times New Roman" w:cs="Times New Roman"/>
          <w:sz w:val="22"/>
          <w:szCs w:val="22"/>
        </w:rPr>
        <w:t xml:space="preserve"> </w:t>
      </w:r>
      <w:r w:rsidRPr="00AF0862">
        <w:rPr>
          <w:rFonts w:ascii="Times New Roman" w:hAnsi="Times New Roman" w:cs="Times New Roman"/>
          <w:sz w:val="22"/>
          <w:szCs w:val="22"/>
        </w:rPr>
        <w:t>la déchéance à l’INPI de la marque Skin’up, de la société homonyme, pour s</w:t>
      </w:r>
      <w:r w:rsidR="00704E65">
        <w:rPr>
          <w:rFonts w:ascii="Times New Roman" w:hAnsi="Times New Roman" w:cs="Times New Roman"/>
          <w:sz w:val="22"/>
          <w:szCs w:val="22"/>
        </w:rPr>
        <w:t>es</w:t>
      </w:r>
      <w:r w:rsidRPr="00AF0862">
        <w:rPr>
          <w:rFonts w:ascii="Times New Roman" w:hAnsi="Times New Roman" w:cs="Times New Roman"/>
          <w:sz w:val="22"/>
          <w:szCs w:val="22"/>
        </w:rPr>
        <w:t xml:space="preserve"> catégorie</w:t>
      </w:r>
      <w:r w:rsidR="00704E65">
        <w:rPr>
          <w:rFonts w:ascii="Times New Roman" w:hAnsi="Times New Roman" w:cs="Times New Roman"/>
          <w:sz w:val="22"/>
          <w:szCs w:val="22"/>
        </w:rPr>
        <w:t>s</w:t>
      </w:r>
      <w:r w:rsidRPr="00AF0862">
        <w:rPr>
          <w:rFonts w:ascii="Times New Roman" w:hAnsi="Times New Roman" w:cs="Times New Roman"/>
          <w:sz w:val="22"/>
          <w:szCs w:val="22"/>
        </w:rPr>
        <w:t xml:space="preserve"> enregistrée</w:t>
      </w:r>
      <w:r w:rsidR="00704E65">
        <w:rPr>
          <w:rFonts w:ascii="Times New Roman" w:hAnsi="Times New Roman" w:cs="Times New Roman"/>
          <w:sz w:val="22"/>
          <w:szCs w:val="22"/>
        </w:rPr>
        <w:t>s</w:t>
      </w:r>
      <w:r w:rsidRPr="00AF0862">
        <w:rPr>
          <w:rFonts w:ascii="Times New Roman" w:hAnsi="Times New Roman" w:cs="Times New Roman"/>
          <w:sz w:val="22"/>
          <w:szCs w:val="22"/>
        </w:rPr>
        <w:t xml:space="preserve">, c’est-à-dire la classe 3. L’INPI a </w:t>
      </w:r>
      <w:r w:rsidR="008962D9" w:rsidRPr="00AF0862">
        <w:rPr>
          <w:rFonts w:ascii="Times New Roman" w:hAnsi="Times New Roman" w:cs="Times New Roman"/>
          <w:sz w:val="22"/>
          <w:szCs w:val="22"/>
        </w:rPr>
        <w:t xml:space="preserve">partiellement </w:t>
      </w:r>
      <w:r w:rsidRPr="00AF0862">
        <w:rPr>
          <w:rFonts w:ascii="Times New Roman" w:hAnsi="Times New Roman" w:cs="Times New Roman"/>
          <w:sz w:val="22"/>
          <w:szCs w:val="22"/>
        </w:rPr>
        <w:t xml:space="preserve">fait droit à cette demande </w:t>
      </w:r>
      <w:r w:rsidR="0071171D" w:rsidRPr="00AF0862">
        <w:rPr>
          <w:rFonts w:ascii="Times New Roman" w:hAnsi="Times New Roman" w:cs="Times New Roman"/>
          <w:sz w:val="22"/>
          <w:szCs w:val="22"/>
        </w:rPr>
        <w:t>le 23 juillet 2021</w:t>
      </w:r>
      <w:r w:rsidRPr="00AF0862">
        <w:rPr>
          <w:rFonts w:ascii="Times New Roman" w:hAnsi="Times New Roman" w:cs="Times New Roman"/>
          <w:sz w:val="22"/>
          <w:szCs w:val="22"/>
        </w:rPr>
        <w:t xml:space="preserve">, elle a été maintenue pour les </w:t>
      </w:r>
      <w:r w:rsidR="008962D9" w:rsidRPr="00AF0862">
        <w:rPr>
          <w:rFonts w:ascii="Times New Roman" w:hAnsi="Times New Roman" w:cs="Times New Roman"/>
          <w:sz w:val="22"/>
          <w:szCs w:val="22"/>
        </w:rPr>
        <w:t xml:space="preserve">catégories </w:t>
      </w:r>
      <w:r w:rsidRPr="00AF0862">
        <w:rPr>
          <w:rFonts w:ascii="Times New Roman" w:hAnsi="Times New Roman" w:cs="Times New Roman"/>
          <w:sz w:val="22"/>
          <w:szCs w:val="22"/>
        </w:rPr>
        <w:t xml:space="preserve">« huiles essentielles » et « cosmétiques ». La société Univers Pharmacie va alors saisir le juge pour contester la décision de l’INPI et obtenir la déchéance totale de la marque. </w:t>
      </w:r>
    </w:p>
    <w:p w14:paraId="6B4BD7A8" w14:textId="77777777" w:rsidR="00D01974" w:rsidRPr="00AF0862" w:rsidRDefault="00D01974"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p>
    <w:p w14:paraId="1C8977DD" w14:textId="7E142FDE" w:rsidR="00CE1B29" w:rsidRPr="00AF0862" w:rsidRDefault="00D01974"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t xml:space="preserve">PROCÉDURE : </w:t>
      </w:r>
      <w:r w:rsidR="00F120FF">
        <w:rPr>
          <w:rFonts w:ascii="Times New Roman" w:hAnsi="Times New Roman" w:cs="Times New Roman"/>
          <w:sz w:val="22"/>
          <w:szCs w:val="22"/>
        </w:rPr>
        <w:t>E</w:t>
      </w:r>
      <w:r w:rsidR="0071171D" w:rsidRPr="00AF0862">
        <w:rPr>
          <w:rFonts w:ascii="Times New Roman" w:hAnsi="Times New Roman" w:cs="Times New Roman"/>
          <w:sz w:val="22"/>
          <w:szCs w:val="22"/>
        </w:rPr>
        <w:t xml:space="preserve">n appel, </w:t>
      </w:r>
      <w:r w:rsidR="00CE1B29" w:rsidRPr="00AF0862">
        <w:rPr>
          <w:rFonts w:ascii="Times New Roman" w:hAnsi="Times New Roman" w:cs="Times New Roman"/>
          <w:sz w:val="22"/>
          <w:szCs w:val="22"/>
        </w:rPr>
        <w:t xml:space="preserve">la société Pharmacie Univers, demanderesse, estime que les produits </w:t>
      </w:r>
      <w:r w:rsidR="008962D9" w:rsidRPr="00AF0862">
        <w:rPr>
          <w:rFonts w:ascii="Times New Roman" w:hAnsi="Times New Roman" w:cs="Times New Roman"/>
          <w:sz w:val="22"/>
          <w:szCs w:val="22"/>
        </w:rPr>
        <w:t>litigieux</w:t>
      </w:r>
      <w:r w:rsidR="00CE1B29" w:rsidRPr="00AF0862">
        <w:rPr>
          <w:rFonts w:ascii="Times New Roman" w:hAnsi="Times New Roman" w:cs="Times New Roman"/>
          <w:sz w:val="22"/>
          <w:szCs w:val="22"/>
        </w:rPr>
        <w:t xml:space="preserve"> de la marque Skin’up, constituaient en fait une sous-catégorie autonome de la catégorie large « cosmétiques ». Mais la cour d’appel n’a pas suivi ce raisonnement, pour elle les produits litigieux restent des cosmétiques au sens large de son effet. </w:t>
      </w:r>
    </w:p>
    <w:p w14:paraId="45FA8DCA" w14:textId="3FB2EBAC" w:rsidR="00D01974" w:rsidRPr="00AF0862" w:rsidRDefault="00CE1B29"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t>La société se pourvoi</w:t>
      </w:r>
      <w:r w:rsidR="00F120FF">
        <w:rPr>
          <w:rFonts w:ascii="Times New Roman" w:hAnsi="Times New Roman" w:cs="Times New Roman"/>
          <w:sz w:val="22"/>
          <w:szCs w:val="22"/>
        </w:rPr>
        <w:t>t</w:t>
      </w:r>
      <w:r w:rsidRPr="00AF0862">
        <w:rPr>
          <w:rFonts w:ascii="Times New Roman" w:hAnsi="Times New Roman" w:cs="Times New Roman"/>
          <w:sz w:val="22"/>
          <w:szCs w:val="22"/>
        </w:rPr>
        <w:t xml:space="preserve"> alors en cassation, </w:t>
      </w:r>
      <w:r w:rsidR="00F120FF">
        <w:rPr>
          <w:rFonts w:ascii="Times New Roman" w:hAnsi="Times New Roman" w:cs="Times New Roman"/>
          <w:sz w:val="22"/>
          <w:szCs w:val="22"/>
        </w:rPr>
        <w:t>et</w:t>
      </w:r>
      <w:r w:rsidRPr="00AF0862">
        <w:rPr>
          <w:rFonts w:ascii="Times New Roman" w:hAnsi="Times New Roman" w:cs="Times New Roman"/>
          <w:sz w:val="22"/>
          <w:szCs w:val="22"/>
        </w:rPr>
        <w:t xml:space="preserve"> estime que la cour d’appel a violé les articles L714-5 et L716-3 du CPI en ne cherchant pas, comme elle y était invitée, à savoir si les produits litigieux n’étaient pas limités à une sous-catégorie autonome, « cosméto-textiles » de la catégorie large « cosmétiques », et si c’était le cas</w:t>
      </w:r>
      <w:r w:rsidR="00704E65">
        <w:rPr>
          <w:rFonts w:ascii="Times New Roman" w:hAnsi="Times New Roman" w:cs="Times New Roman"/>
          <w:sz w:val="22"/>
          <w:szCs w:val="22"/>
        </w:rPr>
        <w:t>,</w:t>
      </w:r>
      <w:r w:rsidRPr="00AF0862">
        <w:rPr>
          <w:rFonts w:ascii="Times New Roman" w:hAnsi="Times New Roman" w:cs="Times New Roman"/>
          <w:sz w:val="22"/>
          <w:szCs w:val="22"/>
        </w:rPr>
        <w:t xml:space="preserve"> si Skin’up en avait fait un usage sérieux au cours des 5 dernières années. </w:t>
      </w:r>
    </w:p>
    <w:p w14:paraId="3EE46234" w14:textId="77777777" w:rsidR="00CE1B29" w:rsidRPr="00AF0862" w:rsidRDefault="00CE1B29"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p>
    <w:p w14:paraId="1B372A12" w14:textId="0BCAE681" w:rsidR="00CE1B29" w:rsidRPr="00AF0862" w:rsidRDefault="00CE1B29"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t xml:space="preserve">PROBLÈME DE DROIT : </w:t>
      </w:r>
      <w:r w:rsidR="00704E65">
        <w:rPr>
          <w:rFonts w:ascii="Times New Roman" w:hAnsi="Times New Roman" w:cs="Times New Roman"/>
          <w:sz w:val="22"/>
          <w:szCs w:val="22"/>
        </w:rPr>
        <w:t>D</w:t>
      </w:r>
      <w:r w:rsidR="00F120FF">
        <w:rPr>
          <w:rFonts w:ascii="Times New Roman" w:hAnsi="Times New Roman" w:cs="Times New Roman"/>
          <w:sz w:val="22"/>
          <w:szCs w:val="22"/>
        </w:rPr>
        <w:t>ans le cas d’une marque enregistrée pour une catégorie large, selon quel critères apprécie-t-on le caractère sérieux de son usage, et l’exploitation effective d’une sous-catégorie autonome permet-elle, à elle seule, de maintenir sa protection sur l’ensemble de la catégorie déclarée ?</w:t>
      </w:r>
      <w:r w:rsidR="00C077CE" w:rsidRPr="00AF0862">
        <w:rPr>
          <w:rFonts w:ascii="Times New Roman" w:hAnsi="Times New Roman" w:cs="Times New Roman"/>
          <w:sz w:val="22"/>
          <w:szCs w:val="22"/>
        </w:rPr>
        <w:t xml:space="preserve"> </w:t>
      </w:r>
    </w:p>
    <w:p w14:paraId="29ADEA08" w14:textId="77777777" w:rsidR="004D4136" w:rsidRPr="00AF0862" w:rsidRDefault="004D4136"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p>
    <w:p w14:paraId="6A3EC2D2" w14:textId="6116DD4B" w:rsidR="00E830B3" w:rsidRPr="00AF0862" w:rsidRDefault="00CE1B29"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t xml:space="preserve">SOLUTION : La Cour de cassation casse </w:t>
      </w:r>
      <w:r w:rsidR="000F00D3" w:rsidRPr="00AF0862">
        <w:rPr>
          <w:rFonts w:ascii="Times New Roman" w:hAnsi="Times New Roman" w:cs="Times New Roman"/>
          <w:sz w:val="22"/>
          <w:szCs w:val="22"/>
        </w:rPr>
        <w:t xml:space="preserve">et annule </w:t>
      </w:r>
      <w:r w:rsidRPr="00AF0862">
        <w:rPr>
          <w:rFonts w:ascii="Times New Roman" w:hAnsi="Times New Roman" w:cs="Times New Roman"/>
          <w:sz w:val="22"/>
          <w:szCs w:val="22"/>
        </w:rPr>
        <w:t>l’arrêt</w:t>
      </w:r>
      <w:r w:rsidR="000F00D3" w:rsidRPr="00AF0862">
        <w:rPr>
          <w:rFonts w:ascii="Times New Roman" w:hAnsi="Times New Roman" w:cs="Times New Roman"/>
          <w:sz w:val="22"/>
          <w:szCs w:val="22"/>
        </w:rPr>
        <w:t xml:space="preserve">. </w:t>
      </w:r>
      <w:r w:rsidR="001A7D51" w:rsidRPr="00AF0862">
        <w:rPr>
          <w:rFonts w:ascii="Times New Roman" w:hAnsi="Times New Roman" w:cs="Times New Roman"/>
          <w:sz w:val="22"/>
          <w:szCs w:val="22"/>
        </w:rPr>
        <w:t>Elle vise</w:t>
      </w:r>
      <w:r w:rsidR="000F00D3" w:rsidRPr="00AF0862">
        <w:rPr>
          <w:rFonts w:ascii="Times New Roman" w:hAnsi="Times New Roman" w:cs="Times New Roman"/>
          <w:sz w:val="22"/>
          <w:szCs w:val="22"/>
        </w:rPr>
        <w:t xml:space="preserve"> les articles L714-5 et L716-3 du CPI, </w:t>
      </w:r>
      <w:r w:rsidR="00055210" w:rsidRPr="00AF0862">
        <w:rPr>
          <w:rFonts w:ascii="Times New Roman" w:hAnsi="Times New Roman" w:cs="Times New Roman"/>
          <w:sz w:val="22"/>
          <w:szCs w:val="22"/>
        </w:rPr>
        <w:t xml:space="preserve">portant sur </w:t>
      </w:r>
      <w:r w:rsidR="000F00D3" w:rsidRPr="00AF0862">
        <w:rPr>
          <w:rFonts w:ascii="Times New Roman" w:hAnsi="Times New Roman" w:cs="Times New Roman"/>
          <w:sz w:val="22"/>
          <w:szCs w:val="22"/>
        </w:rPr>
        <w:t xml:space="preserve">la déchéance d’une marque. </w:t>
      </w:r>
      <w:r w:rsidR="001A7D51" w:rsidRPr="00AF0862">
        <w:rPr>
          <w:rFonts w:ascii="Times New Roman" w:hAnsi="Times New Roman" w:cs="Times New Roman"/>
          <w:sz w:val="22"/>
          <w:szCs w:val="22"/>
        </w:rPr>
        <w:t>Textes transposés</w:t>
      </w:r>
      <w:r w:rsidR="000F00D3" w:rsidRPr="00AF0862">
        <w:rPr>
          <w:rFonts w:ascii="Times New Roman" w:hAnsi="Times New Roman" w:cs="Times New Roman"/>
          <w:sz w:val="22"/>
          <w:szCs w:val="22"/>
        </w:rPr>
        <w:t xml:space="preserve"> d’une directive européenne</w:t>
      </w:r>
      <w:r w:rsidR="008962D9" w:rsidRPr="00AF0862">
        <w:rPr>
          <w:rFonts w:ascii="Times New Roman" w:hAnsi="Times New Roman" w:cs="Times New Roman"/>
          <w:sz w:val="22"/>
          <w:szCs w:val="22"/>
        </w:rPr>
        <w:t>,</w:t>
      </w:r>
      <w:r w:rsidR="000F00D3" w:rsidRPr="00AF0862">
        <w:rPr>
          <w:rFonts w:ascii="Times New Roman" w:hAnsi="Times New Roman" w:cs="Times New Roman"/>
          <w:sz w:val="22"/>
          <w:szCs w:val="22"/>
        </w:rPr>
        <w:t xml:space="preserve"> </w:t>
      </w:r>
      <w:r w:rsidR="001A7D51" w:rsidRPr="00AF0862">
        <w:rPr>
          <w:rFonts w:ascii="Times New Roman" w:hAnsi="Times New Roman" w:cs="Times New Roman"/>
          <w:sz w:val="22"/>
          <w:szCs w:val="22"/>
        </w:rPr>
        <w:t>interprétés dans</w:t>
      </w:r>
      <w:r w:rsidR="000F00D3" w:rsidRPr="00AF0862">
        <w:rPr>
          <w:rFonts w:ascii="Times New Roman" w:hAnsi="Times New Roman" w:cs="Times New Roman"/>
          <w:sz w:val="22"/>
          <w:szCs w:val="22"/>
        </w:rPr>
        <w:t xml:space="preserve"> 2 arrêts </w:t>
      </w:r>
      <w:r w:rsidR="001A7D51" w:rsidRPr="00AF0862">
        <w:rPr>
          <w:rFonts w:ascii="Times New Roman" w:hAnsi="Times New Roman" w:cs="Times New Roman"/>
          <w:sz w:val="22"/>
          <w:szCs w:val="22"/>
        </w:rPr>
        <w:t>par</w:t>
      </w:r>
      <w:r w:rsidR="000F00D3" w:rsidRPr="00AF0862">
        <w:rPr>
          <w:rFonts w:ascii="Times New Roman" w:hAnsi="Times New Roman" w:cs="Times New Roman"/>
          <w:sz w:val="22"/>
          <w:szCs w:val="22"/>
        </w:rPr>
        <w:t xml:space="preserve"> </w:t>
      </w:r>
      <w:r w:rsidR="008962D9" w:rsidRPr="00AF0862">
        <w:rPr>
          <w:rFonts w:ascii="Times New Roman" w:hAnsi="Times New Roman" w:cs="Times New Roman"/>
          <w:sz w:val="22"/>
          <w:szCs w:val="22"/>
        </w:rPr>
        <w:t xml:space="preserve">la </w:t>
      </w:r>
      <w:r w:rsidR="000F00D3" w:rsidRPr="00AF0862">
        <w:rPr>
          <w:rFonts w:ascii="Times New Roman" w:hAnsi="Times New Roman" w:cs="Times New Roman"/>
          <w:sz w:val="22"/>
          <w:szCs w:val="22"/>
        </w:rPr>
        <w:t>CJUE</w:t>
      </w:r>
      <w:r w:rsidR="008962D9" w:rsidRPr="00AF0862">
        <w:rPr>
          <w:rFonts w:ascii="Times New Roman" w:hAnsi="Times New Roman" w:cs="Times New Roman"/>
          <w:sz w:val="22"/>
          <w:szCs w:val="22"/>
        </w:rPr>
        <w:t xml:space="preserve"> (CJUE 22/10/2020 Ferrari et 16/07/2020 ACTC/EUIPO), que la cour cite pour répondre.</w:t>
      </w:r>
      <w:r w:rsidR="001A7D51" w:rsidRPr="00AF0862">
        <w:rPr>
          <w:rFonts w:ascii="Times New Roman" w:hAnsi="Times New Roman" w:cs="Times New Roman"/>
          <w:sz w:val="22"/>
          <w:szCs w:val="22"/>
        </w:rPr>
        <w:t xml:space="preserve"> La cour d’appel, retenant que les produits sont des cosmétiques puisqu’ils ont un lien avec la peau, cumulés avec le marketing réalisé autour de la marque, permett</w:t>
      </w:r>
      <w:r w:rsidR="008962D9" w:rsidRPr="00AF0862">
        <w:rPr>
          <w:rFonts w:ascii="Times New Roman" w:hAnsi="Times New Roman" w:cs="Times New Roman"/>
          <w:sz w:val="22"/>
          <w:szCs w:val="22"/>
        </w:rPr>
        <w:t>e</w:t>
      </w:r>
      <w:r w:rsidR="001A7D51" w:rsidRPr="00AF0862">
        <w:rPr>
          <w:rFonts w:ascii="Times New Roman" w:hAnsi="Times New Roman" w:cs="Times New Roman"/>
          <w:sz w:val="22"/>
          <w:szCs w:val="22"/>
        </w:rPr>
        <w:t>nt alors de les classer dans la catégorie large de « cosmétiques » et d’en démontrer l’usage sérieux</w:t>
      </w:r>
      <w:r w:rsidR="008E09D0">
        <w:rPr>
          <w:rFonts w:ascii="Times New Roman" w:hAnsi="Times New Roman" w:cs="Times New Roman"/>
          <w:sz w:val="22"/>
          <w:szCs w:val="22"/>
        </w:rPr>
        <w:t>,</w:t>
      </w:r>
      <w:r w:rsidR="001A7D51" w:rsidRPr="00AF0862">
        <w:rPr>
          <w:rFonts w:ascii="Times New Roman" w:hAnsi="Times New Roman" w:cs="Times New Roman"/>
          <w:sz w:val="22"/>
          <w:szCs w:val="22"/>
        </w:rPr>
        <w:t xml:space="preserve"> sans chercher comme elle y était invitée, si les produits litigieux ne constituaient pas une sous-catégorie autonome au sein de la large catégorie, n’a pas donné de base légale à sa décision. </w:t>
      </w:r>
    </w:p>
    <w:p w14:paraId="16C00FCD" w14:textId="77777777" w:rsidR="00055210" w:rsidRPr="00AF0862" w:rsidRDefault="00055210"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p>
    <w:p w14:paraId="7C29C1A6" w14:textId="41FA004E" w:rsidR="00E830B3" w:rsidRPr="00AF0862" w:rsidRDefault="00E830B3" w:rsidP="00AF086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t>PORTÉE : Ainsi pour la cour, lorsque le produit ne touche qu’une sous-catégorie autonome, sa protection ne sera pas étendue à la catégorie large, ce qui veut dire que si les juges du fond avaient démontré l’existence de la sous-catégorie autonome, il</w:t>
      </w:r>
      <w:r w:rsidR="008E09D0">
        <w:rPr>
          <w:rFonts w:ascii="Times New Roman" w:hAnsi="Times New Roman" w:cs="Times New Roman"/>
          <w:sz w:val="22"/>
          <w:szCs w:val="22"/>
        </w:rPr>
        <w:t>s</w:t>
      </w:r>
      <w:r w:rsidRPr="00AF0862">
        <w:rPr>
          <w:rFonts w:ascii="Times New Roman" w:hAnsi="Times New Roman" w:cs="Times New Roman"/>
          <w:sz w:val="22"/>
          <w:szCs w:val="22"/>
        </w:rPr>
        <w:t xml:space="preserve"> aurai</w:t>
      </w:r>
      <w:r w:rsidR="008E09D0">
        <w:rPr>
          <w:rFonts w:ascii="Times New Roman" w:hAnsi="Times New Roman" w:cs="Times New Roman"/>
          <w:sz w:val="22"/>
          <w:szCs w:val="22"/>
        </w:rPr>
        <w:t>en</w:t>
      </w:r>
      <w:r w:rsidRPr="00AF0862">
        <w:rPr>
          <w:rFonts w:ascii="Times New Roman" w:hAnsi="Times New Roman" w:cs="Times New Roman"/>
          <w:sz w:val="22"/>
          <w:szCs w:val="22"/>
        </w:rPr>
        <w:t xml:space="preserve">t </w:t>
      </w:r>
      <w:r w:rsidR="008E09D0">
        <w:rPr>
          <w:rFonts w:ascii="Times New Roman" w:hAnsi="Times New Roman" w:cs="Times New Roman"/>
          <w:sz w:val="22"/>
          <w:szCs w:val="22"/>
        </w:rPr>
        <w:t>pu prononcer</w:t>
      </w:r>
      <w:r w:rsidRPr="00AF0862">
        <w:rPr>
          <w:rFonts w:ascii="Times New Roman" w:hAnsi="Times New Roman" w:cs="Times New Roman"/>
          <w:sz w:val="22"/>
          <w:szCs w:val="22"/>
        </w:rPr>
        <w:t xml:space="preserve"> eu une déchéance partielle de cette classe 3 pour ne garder que la sous-catégorie. Cela permet de mieux cerner la portée de la protection offerte par l’enregistrement d’une marque, pour une protection plus réelle</w:t>
      </w:r>
      <w:r w:rsidR="004D4136" w:rsidRPr="00AF0862">
        <w:rPr>
          <w:rFonts w:ascii="Times New Roman" w:hAnsi="Times New Roman" w:cs="Times New Roman"/>
          <w:sz w:val="22"/>
          <w:szCs w:val="22"/>
        </w:rPr>
        <w:t xml:space="preserve">. </w:t>
      </w:r>
    </w:p>
    <w:p w14:paraId="624A0F1C" w14:textId="77777777" w:rsidR="00AF0862" w:rsidRDefault="00AF0862">
      <w:pPr>
        <w:rPr>
          <w:rFonts w:ascii="Times New Roman" w:hAnsi="Times New Roman" w:cs="Times New Roman"/>
          <w:sz w:val="22"/>
          <w:szCs w:val="22"/>
        </w:rPr>
      </w:pPr>
      <w:r>
        <w:rPr>
          <w:rFonts w:ascii="Times New Roman" w:hAnsi="Times New Roman" w:cs="Times New Roman"/>
          <w:sz w:val="22"/>
          <w:szCs w:val="22"/>
        </w:rPr>
        <w:br w:type="page"/>
      </w:r>
    </w:p>
    <w:p w14:paraId="161404C3" w14:textId="32397BAB" w:rsidR="0040650A" w:rsidRPr="00AF0862" w:rsidRDefault="004D4136" w:rsidP="00AF0862">
      <w:pPr>
        <w:spacing w:line="276" w:lineRule="auto"/>
        <w:jc w:val="both"/>
        <w:rPr>
          <w:rFonts w:ascii="Times New Roman" w:hAnsi="Times New Roman" w:cs="Times New Roman"/>
          <w:b/>
          <w:bCs/>
          <w:sz w:val="22"/>
          <w:szCs w:val="22"/>
        </w:rPr>
      </w:pPr>
      <w:r w:rsidRPr="00AF0862">
        <w:rPr>
          <w:rFonts w:ascii="Times New Roman" w:hAnsi="Times New Roman" w:cs="Times New Roman"/>
          <w:b/>
          <w:bCs/>
          <w:sz w:val="22"/>
          <w:szCs w:val="22"/>
        </w:rPr>
        <w:lastRenderedPageBreak/>
        <w:t>NOTE :</w:t>
      </w:r>
    </w:p>
    <w:p w14:paraId="539B5276" w14:textId="77777777" w:rsidR="004D1CD0" w:rsidRPr="00AF0862" w:rsidRDefault="004D1CD0" w:rsidP="00AF0862">
      <w:pPr>
        <w:spacing w:line="276" w:lineRule="auto"/>
        <w:jc w:val="both"/>
        <w:rPr>
          <w:rFonts w:ascii="Times New Roman" w:hAnsi="Times New Roman" w:cs="Times New Roman"/>
          <w:sz w:val="22"/>
          <w:szCs w:val="22"/>
        </w:rPr>
      </w:pPr>
    </w:p>
    <w:p w14:paraId="74CBF946" w14:textId="77777777" w:rsidR="00411C12" w:rsidRPr="00AF0862" w:rsidRDefault="00411C12" w:rsidP="00AF0862">
      <w:pPr>
        <w:spacing w:line="276" w:lineRule="auto"/>
        <w:jc w:val="both"/>
        <w:rPr>
          <w:rFonts w:ascii="Times New Roman" w:hAnsi="Times New Roman" w:cs="Times New Roman"/>
          <w:sz w:val="22"/>
          <w:szCs w:val="22"/>
        </w:rPr>
        <w:sectPr w:rsidR="00411C12" w:rsidRPr="00AF0862">
          <w:footerReference w:type="default" r:id="rId7"/>
          <w:pgSz w:w="11906" w:h="16838"/>
          <w:pgMar w:top="1417" w:right="1417" w:bottom="1417" w:left="1417" w:header="708" w:footer="708" w:gutter="0"/>
          <w:cols w:space="708"/>
          <w:docGrid w:linePitch="360"/>
        </w:sectPr>
      </w:pPr>
    </w:p>
    <w:p w14:paraId="2DA5210F" w14:textId="1F001123" w:rsidR="0034224D" w:rsidRPr="00AF0862" w:rsidRDefault="0034224D" w:rsidP="00AF0862">
      <w:pPr>
        <w:spacing w:line="276" w:lineRule="auto"/>
        <w:ind w:firstLine="708"/>
        <w:jc w:val="both"/>
        <w:rPr>
          <w:rFonts w:ascii="Times New Roman" w:hAnsi="Times New Roman" w:cs="Times New Roman"/>
          <w:sz w:val="22"/>
          <w:szCs w:val="22"/>
        </w:rPr>
      </w:pPr>
      <w:r w:rsidRPr="00AF0862">
        <w:rPr>
          <w:rFonts w:ascii="Times New Roman" w:hAnsi="Times New Roman" w:cs="Times New Roman"/>
          <w:sz w:val="22"/>
          <w:szCs w:val="22"/>
        </w:rPr>
        <w:t xml:space="preserve">La question de la protection des marques a été soulevée devant les juges du fond par la société Univers Pharmacie, qui </w:t>
      </w:r>
      <w:r w:rsidR="007A1608" w:rsidRPr="00AF0862">
        <w:rPr>
          <w:rFonts w:ascii="Times New Roman" w:hAnsi="Times New Roman" w:cs="Times New Roman"/>
          <w:sz w:val="22"/>
          <w:szCs w:val="22"/>
        </w:rPr>
        <w:t>avait demandé</w:t>
      </w:r>
      <w:r w:rsidRPr="00AF0862">
        <w:rPr>
          <w:rFonts w:ascii="Times New Roman" w:hAnsi="Times New Roman" w:cs="Times New Roman"/>
          <w:sz w:val="22"/>
          <w:szCs w:val="22"/>
        </w:rPr>
        <w:t xml:space="preserve"> la déchéance </w:t>
      </w:r>
      <w:r w:rsidR="00AF0862" w:rsidRPr="00AF0862">
        <w:rPr>
          <w:rFonts w:ascii="Times New Roman" w:hAnsi="Times New Roman" w:cs="Times New Roman"/>
          <w:sz w:val="22"/>
          <w:szCs w:val="22"/>
        </w:rPr>
        <w:t>de</w:t>
      </w:r>
      <w:r w:rsidRPr="00AF0862">
        <w:rPr>
          <w:rFonts w:ascii="Times New Roman" w:hAnsi="Times New Roman" w:cs="Times New Roman"/>
          <w:sz w:val="22"/>
          <w:szCs w:val="22"/>
        </w:rPr>
        <w:t xml:space="preserve"> </w:t>
      </w:r>
      <w:r w:rsidR="000A6716" w:rsidRPr="00AF0862">
        <w:rPr>
          <w:rFonts w:ascii="Times New Roman" w:hAnsi="Times New Roman" w:cs="Times New Roman"/>
          <w:sz w:val="22"/>
          <w:szCs w:val="22"/>
        </w:rPr>
        <w:t>la</w:t>
      </w:r>
      <w:r w:rsidRPr="00AF0862">
        <w:rPr>
          <w:rFonts w:ascii="Times New Roman" w:hAnsi="Times New Roman" w:cs="Times New Roman"/>
          <w:sz w:val="22"/>
          <w:szCs w:val="22"/>
        </w:rPr>
        <w:t xml:space="preserve"> marque de la société </w:t>
      </w:r>
      <w:proofErr w:type="spellStart"/>
      <w:r w:rsidRPr="00AF0862">
        <w:rPr>
          <w:rFonts w:ascii="Times New Roman" w:hAnsi="Times New Roman" w:cs="Times New Roman"/>
          <w:sz w:val="22"/>
          <w:szCs w:val="22"/>
        </w:rPr>
        <w:t>Skin’up</w:t>
      </w:r>
      <w:proofErr w:type="spellEnd"/>
      <w:r w:rsidR="008E09D0">
        <w:rPr>
          <w:rFonts w:ascii="Times New Roman" w:hAnsi="Times New Roman" w:cs="Times New Roman"/>
          <w:sz w:val="22"/>
          <w:szCs w:val="22"/>
        </w:rPr>
        <w:t> ;</w:t>
      </w:r>
      <w:r w:rsidRPr="00AF0862">
        <w:rPr>
          <w:rFonts w:ascii="Times New Roman" w:hAnsi="Times New Roman" w:cs="Times New Roman"/>
          <w:sz w:val="22"/>
          <w:szCs w:val="22"/>
        </w:rPr>
        <w:t xml:space="preserve"> </w:t>
      </w:r>
      <w:r w:rsidR="00AF0862" w:rsidRPr="00AF0862">
        <w:rPr>
          <w:rFonts w:ascii="Times New Roman" w:hAnsi="Times New Roman" w:cs="Times New Roman"/>
          <w:sz w:val="22"/>
          <w:szCs w:val="22"/>
        </w:rPr>
        <w:t>l’INPI l’a</w:t>
      </w:r>
      <w:r w:rsidR="007A1608" w:rsidRPr="00AF0862">
        <w:rPr>
          <w:rFonts w:ascii="Times New Roman" w:hAnsi="Times New Roman" w:cs="Times New Roman"/>
          <w:sz w:val="22"/>
          <w:szCs w:val="22"/>
        </w:rPr>
        <w:t xml:space="preserve"> partiellement refusée </w:t>
      </w:r>
      <w:r w:rsidRPr="00AF0862">
        <w:rPr>
          <w:rFonts w:ascii="Times New Roman" w:hAnsi="Times New Roman" w:cs="Times New Roman"/>
          <w:sz w:val="22"/>
          <w:szCs w:val="22"/>
        </w:rPr>
        <w:t>pour la catégorie « cosmétique »</w:t>
      </w:r>
      <w:r w:rsidR="007A1608" w:rsidRPr="00AF0862">
        <w:rPr>
          <w:rFonts w:ascii="Times New Roman" w:hAnsi="Times New Roman" w:cs="Times New Roman"/>
          <w:sz w:val="22"/>
          <w:szCs w:val="22"/>
        </w:rPr>
        <w:t xml:space="preserve"> et « huiles essentielles »</w:t>
      </w:r>
      <w:r w:rsidRPr="00AF0862">
        <w:rPr>
          <w:rFonts w:ascii="Times New Roman" w:hAnsi="Times New Roman" w:cs="Times New Roman"/>
          <w:sz w:val="22"/>
          <w:szCs w:val="22"/>
        </w:rPr>
        <w:t>.</w:t>
      </w:r>
    </w:p>
    <w:p w14:paraId="099C1C99" w14:textId="4E1E9701" w:rsidR="0034224D" w:rsidRPr="00AF0862" w:rsidRDefault="0034224D" w:rsidP="00C87496">
      <w:pPr>
        <w:spacing w:line="276" w:lineRule="auto"/>
        <w:ind w:firstLine="708"/>
        <w:jc w:val="both"/>
        <w:rPr>
          <w:rFonts w:ascii="Times New Roman" w:hAnsi="Times New Roman" w:cs="Times New Roman"/>
          <w:sz w:val="22"/>
          <w:szCs w:val="22"/>
        </w:rPr>
      </w:pPr>
      <w:r w:rsidRPr="00AF0862">
        <w:rPr>
          <w:rFonts w:ascii="Times New Roman" w:hAnsi="Times New Roman" w:cs="Times New Roman"/>
          <w:sz w:val="22"/>
          <w:szCs w:val="22"/>
        </w:rPr>
        <w:t xml:space="preserve">Comme le rappelle la </w:t>
      </w:r>
      <w:r w:rsidR="008E09D0">
        <w:rPr>
          <w:rFonts w:ascii="Times New Roman" w:hAnsi="Times New Roman" w:cs="Times New Roman"/>
          <w:sz w:val="22"/>
          <w:szCs w:val="22"/>
        </w:rPr>
        <w:t>C</w:t>
      </w:r>
      <w:r w:rsidRPr="00AF0862">
        <w:rPr>
          <w:rFonts w:ascii="Times New Roman" w:hAnsi="Times New Roman" w:cs="Times New Roman"/>
          <w:sz w:val="22"/>
          <w:szCs w:val="22"/>
        </w:rPr>
        <w:t>our d’appel de Colmar</w:t>
      </w:r>
      <w:r w:rsidR="004D1CD0" w:rsidRPr="00AF0862">
        <w:rPr>
          <w:rFonts w:ascii="Times New Roman" w:hAnsi="Times New Roman" w:cs="Times New Roman"/>
          <w:sz w:val="22"/>
          <w:szCs w:val="22"/>
        </w:rPr>
        <w:t xml:space="preserve"> </w:t>
      </w:r>
      <w:r w:rsidR="000A6716" w:rsidRPr="00AF0862">
        <w:rPr>
          <w:rFonts w:ascii="Times New Roman" w:hAnsi="Times New Roman" w:cs="Times New Roman"/>
          <w:sz w:val="22"/>
          <w:szCs w:val="22"/>
        </w:rPr>
        <w:t>au visa des</w:t>
      </w:r>
      <w:r w:rsidR="004D1CD0" w:rsidRPr="00AF0862">
        <w:rPr>
          <w:rFonts w:ascii="Times New Roman" w:hAnsi="Times New Roman" w:cs="Times New Roman"/>
          <w:sz w:val="22"/>
          <w:szCs w:val="22"/>
        </w:rPr>
        <w:t xml:space="preserve"> articles L714-5 et L716 du CPI</w:t>
      </w:r>
      <w:r w:rsidRPr="00AF0862">
        <w:rPr>
          <w:rFonts w:ascii="Times New Roman" w:hAnsi="Times New Roman" w:cs="Times New Roman"/>
          <w:sz w:val="22"/>
          <w:szCs w:val="22"/>
        </w:rPr>
        <w:t>,</w:t>
      </w:r>
      <w:r w:rsidR="004D1CD0" w:rsidRPr="00AF0862">
        <w:rPr>
          <w:rFonts w:ascii="Times New Roman" w:hAnsi="Times New Roman" w:cs="Times New Roman"/>
          <w:sz w:val="22"/>
          <w:szCs w:val="22"/>
        </w:rPr>
        <w:t xml:space="preserve"> </w:t>
      </w:r>
      <w:r w:rsidRPr="00AF0862">
        <w:rPr>
          <w:rFonts w:ascii="Times New Roman" w:hAnsi="Times New Roman" w:cs="Times New Roman"/>
          <w:sz w:val="22"/>
          <w:szCs w:val="22"/>
        </w:rPr>
        <w:t xml:space="preserve">même si le support des produits litigieux est inhabituel, à savoir des produits textiles destinés à mincir, </w:t>
      </w:r>
      <w:r w:rsidR="000A6716" w:rsidRPr="00AF0862">
        <w:rPr>
          <w:rFonts w:ascii="Times New Roman" w:hAnsi="Times New Roman" w:cs="Times New Roman"/>
          <w:sz w:val="22"/>
          <w:szCs w:val="22"/>
        </w:rPr>
        <w:t>ils</w:t>
      </w:r>
      <w:r w:rsidR="007A1608" w:rsidRPr="00AF0862">
        <w:rPr>
          <w:rFonts w:ascii="Times New Roman" w:hAnsi="Times New Roman" w:cs="Times New Roman"/>
          <w:sz w:val="22"/>
          <w:szCs w:val="22"/>
        </w:rPr>
        <w:t xml:space="preserve"> restent</w:t>
      </w:r>
      <w:r w:rsidRPr="00AF0862">
        <w:rPr>
          <w:rFonts w:ascii="Times New Roman" w:hAnsi="Times New Roman" w:cs="Times New Roman"/>
          <w:sz w:val="22"/>
          <w:szCs w:val="22"/>
        </w:rPr>
        <w:t xml:space="preserve"> des cosmétiques puisqu’ils sont en lien avec la peau, rentr</w:t>
      </w:r>
      <w:r w:rsidR="007A1608" w:rsidRPr="00AF0862">
        <w:rPr>
          <w:rFonts w:ascii="Times New Roman" w:hAnsi="Times New Roman" w:cs="Times New Roman"/>
          <w:sz w:val="22"/>
          <w:szCs w:val="22"/>
        </w:rPr>
        <w:t>a</w:t>
      </w:r>
      <w:r w:rsidRPr="00AF0862">
        <w:rPr>
          <w:rFonts w:ascii="Times New Roman" w:hAnsi="Times New Roman" w:cs="Times New Roman"/>
          <w:sz w:val="22"/>
          <w:szCs w:val="22"/>
        </w:rPr>
        <w:t xml:space="preserve">nt alors dans la catégorie « cosmétiques ». </w:t>
      </w:r>
      <w:r w:rsidR="007A1608" w:rsidRPr="00AF0862">
        <w:rPr>
          <w:rFonts w:ascii="Times New Roman" w:hAnsi="Times New Roman" w:cs="Times New Roman"/>
          <w:sz w:val="22"/>
          <w:szCs w:val="22"/>
        </w:rPr>
        <w:t>E</w:t>
      </w:r>
      <w:r w:rsidR="008E09D0">
        <w:rPr>
          <w:rFonts w:ascii="Times New Roman" w:hAnsi="Times New Roman" w:cs="Times New Roman"/>
          <w:sz w:val="22"/>
          <w:szCs w:val="22"/>
        </w:rPr>
        <w:t>lle</w:t>
      </w:r>
      <w:r w:rsidR="004D1CD0" w:rsidRPr="00AF0862">
        <w:rPr>
          <w:rFonts w:ascii="Times New Roman" w:hAnsi="Times New Roman" w:cs="Times New Roman"/>
          <w:sz w:val="22"/>
          <w:szCs w:val="22"/>
        </w:rPr>
        <w:t xml:space="preserve"> </w:t>
      </w:r>
      <w:r w:rsidR="00317C6F" w:rsidRPr="00AF0862">
        <w:rPr>
          <w:rFonts w:ascii="Times New Roman" w:hAnsi="Times New Roman" w:cs="Times New Roman"/>
          <w:sz w:val="22"/>
          <w:szCs w:val="22"/>
        </w:rPr>
        <w:t>retient,</w:t>
      </w:r>
      <w:r w:rsidRPr="00AF0862">
        <w:rPr>
          <w:rFonts w:ascii="Times New Roman" w:hAnsi="Times New Roman" w:cs="Times New Roman"/>
          <w:sz w:val="22"/>
          <w:szCs w:val="22"/>
        </w:rPr>
        <w:t xml:space="preserve"> qu’au </w:t>
      </w:r>
      <w:r w:rsidR="00317C6F" w:rsidRPr="00AF0862">
        <w:rPr>
          <w:rFonts w:ascii="Times New Roman" w:hAnsi="Times New Roman" w:cs="Times New Roman"/>
          <w:sz w:val="22"/>
          <w:szCs w:val="22"/>
        </w:rPr>
        <w:t>regard</w:t>
      </w:r>
      <w:r w:rsidRPr="00AF0862">
        <w:rPr>
          <w:rFonts w:ascii="Times New Roman" w:hAnsi="Times New Roman" w:cs="Times New Roman"/>
          <w:sz w:val="22"/>
          <w:szCs w:val="22"/>
        </w:rPr>
        <w:t xml:space="preserve"> des preuves rapportées de markéting, l</w:t>
      </w:r>
      <w:r w:rsidR="00317C6F" w:rsidRPr="00AF0862">
        <w:rPr>
          <w:rFonts w:ascii="Times New Roman" w:hAnsi="Times New Roman" w:cs="Times New Roman"/>
          <w:sz w:val="22"/>
          <w:szCs w:val="22"/>
        </w:rPr>
        <w:t>e</w:t>
      </w:r>
      <w:r w:rsidRPr="00AF0862">
        <w:rPr>
          <w:rFonts w:ascii="Times New Roman" w:hAnsi="Times New Roman" w:cs="Times New Roman"/>
          <w:sz w:val="22"/>
          <w:szCs w:val="22"/>
        </w:rPr>
        <w:t xml:space="preserve"> </w:t>
      </w:r>
      <w:r w:rsidR="00317C6F" w:rsidRPr="00AF0862">
        <w:rPr>
          <w:rFonts w:ascii="Times New Roman" w:hAnsi="Times New Roman" w:cs="Times New Roman"/>
          <w:sz w:val="22"/>
          <w:szCs w:val="22"/>
        </w:rPr>
        <w:t>titulaire</w:t>
      </w:r>
      <w:r w:rsidRPr="00AF0862">
        <w:rPr>
          <w:rFonts w:ascii="Times New Roman" w:hAnsi="Times New Roman" w:cs="Times New Roman"/>
          <w:sz w:val="22"/>
          <w:szCs w:val="22"/>
        </w:rPr>
        <w:t xml:space="preserve"> a démontré son usage sérieux</w:t>
      </w:r>
      <w:r w:rsidR="00AF0862" w:rsidRPr="00AF0862">
        <w:rPr>
          <w:rFonts w:ascii="Times New Roman" w:hAnsi="Times New Roman" w:cs="Times New Roman"/>
          <w:sz w:val="22"/>
          <w:szCs w:val="22"/>
        </w:rPr>
        <w:t xml:space="preserve"> des produits</w:t>
      </w:r>
      <w:r w:rsidRPr="00AF0862">
        <w:rPr>
          <w:rFonts w:ascii="Times New Roman" w:hAnsi="Times New Roman" w:cs="Times New Roman"/>
          <w:sz w:val="22"/>
          <w:szCs w:val="22"/>
        </w:rPr>
        <w:t xml:space="preserve">, empêchant sa déchéance pour </w:t>
      </w:r>
      <w:r w:rsidR="007A1608" w:rsidRPr="00AF0862">
        <w:rPr>
          <w:rFonts w:ascii="Times New Roman" w:hAnsi="Times New Roman" w:cs="Times New Roman"/>
          <w:sz w:val="22"/>
          <w:szCs w:val="22"/>
        </w:rPr>
        <w:t>ces</w:t>
      </w:r>
      <w:r w:rsidRPr="00AF0862">
        <w:rPr>
          <w:rFonts w:ascii="Times New Roman" w:hAnsi="Times New Roman" w:cs="Times New Roman"/>
          <w:sz w:val="22"/>
          <w:szCs w:val="22"/>
        </w:rPr>
        <w:t xml:space="preserve"> </w:t>
      </w:r>
      <w:r w:rsidR="007A1608" w:rsidRPr="00AF0862">
        <w:rPr>
          <w:rFonts w:ascii="Times New Roman" w:hAnsi="Times New Roman" w:cs="Times New Roman"/>
          <w:sz w:val="22"/>
          <w:szCs w:val="22"/>
        </w:rPr>
        <w:t xml:space="preserve">2 </w:t>
      </w:r>
      <w:r w:rsidRPr="00AF0862">
        <w:rPr>
          <w:rFonts w:ascii="Times New Roman" w:hAnsi="Times New Roman" w:cs="Times New Roman"/>
          <w:sz w:val="22"/>
          <w:szCs w:val="22"/>
        </w:rPr>
        <w:t>catégorie</w:t>
      </w:r>
      <w:r w:rsidR="007A1608" w:rsidRPr="00AF0862">
        <w:rPr>
          <w:rFonts w:ascii="Times New Roman" w:hAnsi="Times New Roman" w:cs="Times New Roman"/>
          <w:sz w:val="22"/>
          <w:szCs w:val="22"/>
        </w:rPr>
        <w:t>s</w:t>
      </w:r>
      <w:r w:rsidRPr="00AF0862">
        <w:rPr>
          <w:rFonts w:ascii="Times New Roman" w:hAnsi="Times New Roman" w:cs="Times New Roman"/>
          <w:sz w:val="22"/>
          <w:szCs w:val="22"/>
        </w:rPr>
        <w:t xml:space="preserve">. </w:t>
      </w:r>
    </w:p>
    <w:p w14:paraId="46BB7678" w14:textId="2BBDC7D1" w:rsidR="004D1CD0" w:rsidRPr="00AF0862" w:rsidRDefault="004D1CD0" w:rsidP="00C87496">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 xml:space="preserve">Toutefois, </w:t>
      </w:r>
      <w:r w:rsidR="007A1608" w:rsidRPr="00AF0862">
        <w:rPr>
          <w:rFonts w:ascii="Times New Roman" w:hAnsi="Times New Roman" w:cs="Times New Roman"/>
          <w:sz w:val="22"/>
          <w:szCs w:val="22"/>
        </w:rPr>
        <w:t>ce principe a été précisé par</w:t>
      </w:r>
      <w:r w:rsidRPr="00AF0862">
        <w:rPr>
          <w:rFonts w:ascii="Times New Roman" w:hAnsi="Times New Roman" w:cs="Times New Roman"/>
          <w:sz w:val="22"/>
          <w:szCs w:val="22"/>
        </w:rPr>
        <w:t xml:space="preserve"> la jurisprudence de la CJUE qui a interprété ces textes </w:t>
      </w:r>
      <w:r w:rsidR="008E09D0">
        <w:rPr>
          <w:rFonts w:ascii="Times New Roman" w:hAnsi="Times New Roman" w:cs="Times New Roman"/>
          <w:sz w:val="22"/>
          <w:szCs w:val="22"/>
        </w:rPr>
        <w:t>en ce sens,</w:t>
      </w:r>
      <w:r w:rsidRPr="00AF0862">
        <w:rPr>
          <w:rFonts w:ascii="Times New Roman" w:hAnsi="Times New Roman" w:cs="Times New Roman"/>
          <w:sz w:val="22"/>
          <w:szCs w:val="22"/>
        </w:rPr>
        <w:t xml:space="preserve"> lorsque les produits litigieux sont rangés dans une catégorie large</w:t>
      </w:r>
      <w:r w:rsidR="00317C6F" w:rsidRPr="00AF0862">
        <w:rPr>
          <w:rFonts w:ascii="Times New Roman" w:hAnsi="Times New Roman" w:cs="Times New Roman"/>
          <w:sz w:val="22"/>
          <w:szCs w:val="22"/>
        </w:rPr>
        <w:t>,</w:t>
      </w:r>
      <w:r w:rsidRPr="00AF0862">
        <w:rPr>
          <w:rFonts w:ascii="Times New Roman" w:hAnsi="Times New Roman" w:cs="Times New Roman"/>
          <w:sz w:val="22"/>
          <w:szCs w:val="22"/>
        </w:rPr>
        <w:t xml:space="preserve"> susceptible d’être subdivisée en plusieurs sous-catégories autonomes, le titulaire doit rapporter cette preuve pour chacune des sous-catégories (CJUE 16/07/2020 ACTC/EUIPO C-714/18). </w:t>
      </w:r>
    </w:p>
    <w:p w14:paraId="3FD5C89E" w14:textId="77777777" w:rsidR="004D1CD0" w:rsidRPr="00AF0862" w:rsidRDefault="004D1CD0" w:rsidP="00AF0862">
      <w:pPr>
        <w:spacing w:line="276" w:lineRule="auto"/>
        <w:jc w:val="both"/>
        <w:rPr>
          <w:rFonts w:ascii="Times New Roman" w:hAnsi="Times New Roman" w:cs="Times New Roman"/>
          <w:sz w:val="22"/>
          <w:szCs w:val="22"/>
        </w:rPr>
      </w:pPr>
    </w:p>
    <w:p w14:paraId="4805D72D" w14:textId="77777777" w:rsidR="008962D9" w:rsidRPr="00AF0862" w:rsidRDefault="008962D9" w:rsidP="00AF0862">
      <w:pPr>
        <w:spacing w:line="276" w:lineRule="auto"/>
        <w:jc w:val="both"/>
        <w:rPr>
          <w:rFonts w:ascii="Times New Roman" w:hAnsi="Times New Roman" w:cs="Times New Roman"/>
          <w:sz w:val="22"/>
          <w:szCs w:val="22"/>
        </w:rPr>
      </w:pPr>
    </w:p>
    <w:p w14:paraId="36F158AC" w14:textId="4EA29F51" w:rsidR="008962D9" w:rsidRPr="00C87496" w:rsidRDefault="008962D9" w:rsidP="00C87496">
      <w:pPr>
        <w:spacing w:line="276" w:lineRule="auto"/>
        <w:jc w:val="both"/>
        <w:rPr>
          <w:rFonts w:ascii="Times New Roman" w:hAnsi="Times New Roman" w:cs="Times New Roman"/>
          <w:b/>
          <w:bCs/>
          <w:sz w:val="22"/>
          <w:szCs w:val="22"/>
        </w:rPr>
      </w:pPr>
      <w:r w:rsidRPr="00C87496">
        <w:rPr>
          <w:rFonts w:ascii="Times New Roman" w:hAnsi="Times New Roman" w:cs="Times New Roman"/>
          <w:b/>
          <w:bCs/>
          <w:sz w:val="22"/>
          <w:szCs w:val="22"/>
        </w:rPr>
        <w:t>L’appréciation de l’usage sérieux pour les catégories et sous-catégorie</w:t>
      </w:r>
      <w:r w:rsidR="00A51819">
        <w:rPr>
          <w:rFonts w:ascii="Times New Roman" w:hAnsi="Times New Roman" w:cs="Times New Roman"/>
          <w:b/>
          <w:bCs/>
          <w:sz w:val="22"/>
          <w:szCs w:val="22"/>
        </w:rPr>
        <w:t>s</w:t>
      </w:r>
      <w:r w:rsidRPr="00C87496">
        <w:rPr>
          <w:rFonts w:ascii="Times New Roman" w:hAnsi="Times New Roman" w:cs="Times New Roman"/>
          <w:b/>
          <w:bCs/>
          <w:sz w:val="22"/>
          <w:szCs w:val="22"/>
        </w:rPr>
        <w:t xml:space="preserve"> autonome</w:t>
      </w:r>
      <w:r w:rsidR="00A51819">
        <w:rPr>
          <w:rFonts w:ascii="Times New Roman" w:hAnsi="Times New Roman" w:cs="Times New Roman"/>
          <w:b/>
          <w:bCs/>
          <w:sz w:val="22"/>
          <w:szCs w:val="22"/>
        </w:rPr>
        <w:t>s</w:t>
      </w:r>
    </w:p>
    <w:p w14:paraId="3841AEBF" w14:textId="77777777" w:rsidR="008970ED" w:rsidRPr="00AF0862" w:rsidRDefault="008970ED" w:rsidP="00AF0862">
      <w:pPr>
        <w:spacing w:line="276" w:lineRule="auto"/>
        <w:jc w:val="both"/>
        <w:rPr>
          <w:rFonts w:ascii="Times New Roman" w:hAnsi="Times New Roman" w:cs="Times New Roman"/>
          <w:sz w:val="22"/>
          <w:szCs w:val="22"/>
        </w:rPr>
      </w:pPr>
    </w:p>
    <w:p w14:paraId="63B8BE2E" w14:textId="29864628" w:rsidR="004D1CD0" w:rsidRPr="00AF0862" w:rsidRDefault="008970ED" w:rsidP="00AF0862">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L</w:t>
      </w:r>
      <w:r w:rsidR="00193BFA" w:rsidRPr="00AF0862">
        <w:rPr>
          <w:rFonts w:ascii="Times New Roman" w:hAnsi="Times New Roman" w:cs="Times New Roman"/>
          <w:sz w:val="22"/>
          <w:szCs w:val="22"/>
        </w:rPr>
        <w:t xml:space="preserve">a </w:t>
      </w:r>
      <w:r w:rsidRPr="00AF0862">
        <w:rPr>
          <w:rFonts w:ascii="Times New Roman" w:hAnsi="Times New Roman" w:cs="Times New Roman"/>
          <w:sz w:val="22"/>
          <w:szCs w:val="22"/>
        </w:rPr>
        <w:t xml:space="preserve">haute juridiction retient que la </w:t>
      </w:r>
      <w:r w:rsidR="00193BFA" w:rsidRPr="00AF0862">
        <w:rPr>
          <w:rFonts w:ascii="Times New Roman" w:hAnsi="Times New Roman" w:cs="Times New Roman"/>
          <w:sz w:val="22"/>
          <w:szCs w:val="22"/>
        </w:rPr>
        <w:t>démonstration d’un usage sérieux d’une composante d’un produit ne vaut pas usage sérieux pour le produit</w:t>
      </w:r>
      <w:r w:rsidRPr="00AF0862">
        <w:rPr>
          <w:rFonts w:ascii="Times New Roman" w:hAnsi="Times New Roman" w:cs="Times New Roman"/>
          <w:sz w:val="22"/>
          <w:szCs w:val="22"/>
        </w:rPr>
        <w:t xml:space="preserve">. </w:t>
      </w:r>
    </w:p>
    <w:p w14:paraId="4E74C435" w14:textId="231CB4C3" w:rsidR="00F62EA3" w:rsidRPr="00AF0862" w:rsidRDefault="00193BFA" w:rsidP="00C87496">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Contrairement à ce que pensait la juridiction d’appel, l</w:t>
      </w:r>
      <w:r w:rsidR="007D25C1" w:rsidRPr="00AF0862">
        <w:rPr>
          <w:rFonts w:ascii="Times New Roman" w:hAnsi="Times New Roman" w:cs="Times New Roman"/>
          <w:sz w:val="22"/>
          <w:szCs w:val="22"/>
        </w:rPr>
        <w:t xml:space="preserve">e fait </w:t>
      </w:r>
      <w:r w:rsidR="00D22F4E" w:rsidRPr="00AF0862">
        <w:rPr>
          <w:rFonts w:ascii="Times New Roman" w:hAnsi="Times New Roman" w:cs="Times New Roman"/>
          <w:sz w:val="22"/>
          <w:szCs w:val="22"/>
        </w:rPr>
        <w:t>que soient utilisés comme composante du produit litigieux</w:t>
      </w:r>
      <w:r w:rsidR="008970ED" w:rsidRPr="00AF0862">
        <w:rPr>
          <w:rFonts w:ascii="Times New Roman" w:hAnsi="Times New Roman" w:cs="Times New Roman"/>
          <w:sz w:val="22"/>
          <w:szCs w:val="22"/>
        </w:rPr>
        <w:t>, en l’espèce des vêtements cosméto-textiles,</w:t>
      </w:r>
      <w:r w:rsidR="00D22F4E" w:rsidRPr="00AF0862">
        <w:rPr>
          <w:rFonts w:ascii="Times New Roman" w:hAnsi="Times New Roman" w:cs="Times New Roman"/>
          <w:sz w:val="22"/>
          <w:szCs w:val="22"/>
        </w:rPr>
        <w:t xml:space="preserve"> des huiles essentielles, ne permet pas de dire que la preuve d’un usage sérieux est rapportée pour la catégorie </w:t>
      </w:r>
      <w:r w:rsidR="008970ED" w:rsidRPr="00AF0862">
        <w:rPr>
          <w:rFonts w:ascii="Times New Roman" w:hAnsi="Times New Roman" w:cs="Times New Roman"/>
          <w:sz w:val="22"/>
          <w:szCs w:val="22"/>
        </w:rPr>
        <w:t xml:space="preserve">à part entière </w:t>
      </w:r>
      <w:r w:rsidR="00D22F4E" w:rsidRPr="00AF0862">
        <w:rPr>
          <w:rFonts w:ascii="Times New Roman" w:hAnsi="Times New Roman" w:cs="Times New Roman"/>
          <w:sz w:val="22"/>
          <w:szCs w:val="22"/>
        </w:rPr>
        <w:t>« huiles essentielles »</w:t>
      </w:r>
      <w:r w:rsidR="008970ED" w:rsidRPr="00AF0862">
        <w:rPr>
          <w:rFonts w:ascii="Times New Roman" w:hAnsi="Times New Roman" w:cs="Times New Roman"/>
          <w:sz w:val="22"/>
          <w:szCs w:val="22"/>
        </w:rPr>
        <w:t>.</w:t>
      </w:r>
      <w:r w:rsidR="00D22F4E" w:rsidRPr="00AF0862">
        <w:rPr>
          <w:rFonts w:ascii="Times New Roman" w:hAnsi="Times New Roman" w:cs="Times New Roman"/>
          <w:sz w:val="22"/>
          <w:szCs w:val="22"/>
        </w:rPr>
        <w:t xml:space="preserve"> </w:t>
      </w:r>
      <w:r w:rsidR="008970ED" w:rsidRPr="00AF0862">
        <w:rPr>
          <w:rFonts w:ascii="Times New Roman" w:hAnsi="Times New Roman" w:cs="Times New Roman"/>
          <w:sz w:val="22"/>
          <w:szCs w:val="22"/>
        </w:rPr>
        <w:t>L</w:t>
      </w:r>
      <w:r w:rsidR="00D22F4E" w:rsidRPr="00AF0862">
        <w:rPr>
          <w:rFonts w:ascii="Times New Roman" w:hAnsi="Times New Roman" w:cs="Times New Roman"/>
          <w:sz w:val="22"/>
          <w:szCs w:val="22"/>
        </w:rPr>
        <w:t xml:space="preserve">es juges estiment que </w:t>
      </w:r>
      <w:r w:rsidR="00F62EA3" w:rsidRPr="00AF0862">
        <w:rPr>
          <w:rFonts w:ascii="Times New Roman" w:hAnsi="Times New Roman" w:cs="Times New Roman"/>
          <w:sz w:val="22"/>
          <w:szCs w:val="22"/>
        </w:rPr>
        <w:t xml:space="preserve">la cour d’appel a violé les articles L714-5 et L716-3, car </w:t>
      </w:r>
      <w:r w:rsidR="00D22F4E" w:rsidRPr="00AF0862">
        <w:rPr>
          <w:rFonts w:ascii="Times New Roman" w:hAnsi="Times New Roman" w:cs="Times New Roman"/>
          <w:sz w:val="22"/>
          <w:szCs w:val="22"/>
        </w:rPr>
        <w:t xml:space="preserve">pour que la preuve soit retenue pour cette catégorie spécifique, les huiles essentielles </w:t>
      </w:r>
      <w:r w:rsidR="00D22F4E" w:rsidRPr="00AF0862">
        <w:rPr>
          <w:rFonts w:ascii="Times New Roman" w:hAnsi="Times New Roman" w:cs="Times New Roman"/>
          <w:sz w:val="22"/>
          <w:szCs w:val="22"/>
        </w:rPr>
        <w:t xml:space="preserve">auraient dû être commercialisées </w:t>
      </w:r>
      <w:r w:rsidR="008970ED" w:rsidRPr="00AF0862">
        <w:rPr>
          <w:rFonts w:ascii="Times New Roman" w:hAnsi="Times New Roman" w:cs="Times New Roman"/>
          <w:sz w:val="22"/>
          <w:szCs w:val="22"/>
        </w:rPr>
        <w:t>comme</w:t>
      </w:r>
      <w:r w:rsidR="00D22F4E" w:rsidRPr="00AF0862">
        <w:rPr>
          <w:rFonts w:ascii="Times New Roman" w:hAnsi="Times New Roman" w:cs="Times New Roman"/>
          <w:sz w:val="22"/>
          <w:szCs w:val="22"/>
        </w:rPr>
        <w:t xml:space="preserve"> </w:t>
      </w:r>
      <w:r w:rsidR="008970ED" w:rsidRPr="00AF0862">
        <w:rPr>
          <w:rFonts w:ascii="Times New Roman" w:hAnsi="Times New Roman" w:cs="Times New Roman"/>
          <w:sz w:val="22"/>
          <w:szCs w:val="22"/>
        </w:rPr>
        <w:t>produit en tant que tel</w:t>
      </w:r>
      <w:r w:rsidR="00D22F4E" w:rsidRPr="00AF0862">
        <w:rPr>
          <w:rFonts w:ascii="Times New Roman" w:hAnsi="Times New Roman" w:cs="Times New Roman"/>
          <w:sz w:val="22"/>
          <w:szCs w:val="22"/>
        </w:rPr>
        <w:t xml:space="preserve">, et non </w:t>
      </w:r>
      <w:r w:rsidR="007A1608" w:rsidRPr="00AF0862">
        <w:rPr>
          <w:rFonts w:ascii="Times New Roman" w:hAnsi="Times New Roman" w:cs="Times New Roman"/>
          <w:sz w:val="22"/>
          <w:szCs w:val="22"/>
        </w:rPr>
        <w:t>comme simple</w:t>
      </w:r>
      <w:r w:rsidR="00D22F4E" w:rsidRPr="00AF0862">
        <w:rPr>
          <w:rFonts w:ascii="Times New Roman" w:hAnsi="Times New Roman" w:cs="Times New Roman"/>
          <w:sz w:val="22"/>
          <w:szCs w:val="22"/>
        </w:rPr>
        <w:t xml:space="preserve"> </w:t>
      </w:r>
      <w:r w:rsidRPr="00AF0862">
        <w:rPr>
          <w:rFonts w:ascii="Times New Roman" w:hAnsi="Times New Roman" w:cs="Times New Roman"/>
          <w:sz w:val="22"/>
          <w:szCs w:val="22"/>
        </w:rPr>
        <w:t>composant d’un autre.</w:t>
      </w:r>
    </w:p>
    <w:p w14:paraId="06B268DD" w14:textId="77777777" w:rsidR="00F62EA3" w:rsidRPr="00AF0862" w:rsidRDefault="00F62EA3" w:rsidP="00AF0862">
      <w:pPr>
        <w:spacing w:line="276" w:lineRule="auto"/>
        <w:jc w:val="both"/>
        <w:rPr>
          <w:rFonts w:ascii="Times New Roman" w:hAnsi="Times New Roman" w:cs="Times New Roman"/>
          <w:sz w:val="22"/>
          <w:szCs w:val="22"/>
        </w:rPr>
      </w:pPr>
    </w:p>
    <w:p w14:paraId="60C90DE5" w14:textId="1E781CE6" w:rsidR="007D25C1" w:rsidRPr="00AF0862" w:rsidRDefault="003E3546" w:rsidP="00C87496">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L’usage sérieux de la marque est exigé par l’article L714-5 du CPI</w:t>
      </w:r>
      <w:r w:rsidR="008E09D0">
        <w:rPr>
          <w:rFonts w:ascii="Times New Roman" w:hAnsi="Times New Roman" w:cs="Times New Roman"/>
          <w:sz w:val="22"/>
          <w:szCs w:val="22"/>
        </w:rPr>
        <w:t>,</w:t>
      </w:r>
      <w:r w:rsidRPr="00AF0862">
        <w:rPr>
          <w:rFonts w:ascii="Times New Roman" w:hAnsi="Times New Roman" w:cs="Times New Roman"/>
          <w:sz w:val="22"/>
          <w:szCs w:val="22"/>
        </w:rPr>
        <w:t xml:space="preserve"> </w:t>
      </w:r>
      <w:r w:rsidR="008E09D0">
        <w:rPr>
          <w:rFonts w:ascii="Times New Roman" w:hAnsi="Times New Roman" w:cs="Times New Roman"/>
          <w:sz w:val="22"/>
          <w:szCs w:val="22"/>
        </w:rPr>
        <w:t>t</w:t>
      </w:r>
      <w:r w:rsidRPr="00AF0862">
        <w:rPr>
          <w:rFonts w:ascii="Times New Roman" w:hAnsi="Times New Roman" w:cs="Times New Roman"/>
          <w:sz w:val="22"/>
          <w:szCs w:val="22"/>
        </w:rPr>
        <w:t xml:space="preserve">exte transposé en droit français </w:t>
      </w:r>
      <w:r w:rsidR="00A51819">
        <w:rPr>
          <w:rFonts w:ascii="Times New Roman" w:hAnsi="Times New Roman" w:cs="Times New Roman"/>
          <w:sz w:val="22"/>
          <w:szCs w:val="22"/>
        </w:rPr>
        <w:t>de</w:t>
      </w:r>
      <w:r w:rsidRPr="00AF0862">
        <w:rPr>
          <w:rFonts w:ascii="Times New Roman" w:hAnsi="Times New Roman" w:cs="Times New Roman"/>
          <w:sz w:val="22"/>
          <w:szCs w:val="22"/>
        </w:rPr>
        <w:t xml:space="preserve"> l’article 19 de la directive européenne 2015/2436. </w:t>
      </w:r>
      <w:r w:rsidR="008E09D0">
        <w:rPr>
          <w:rFonts w:ascii="Times New Roman" w:hAnsi="Times New Roman" w:cs="Times New Roman"/>
          <w:sz w:val="22"/>
          <w:szCs w:val="22"/>
        </w:rPr>
        <w:t>Un u</w:t>
      </w:r>
      <w:r w:rsidRPr="00AF0862">
        <w:rPr>
          <w:rFonts w:ascii="Times New Roman" w:hAnsi="Times New Roman" w:cs="Times New Roman"/>
          <w:sz w:val="22"/>
          <w:szCs w:val="22"/>
        </w:rPr>
        <w:t xml:space="preserve">sage </w:t>
      </w:r>
      <w:r w:rsidR="008E09D0">
        <w:rPr>
          <w:rFonts w:ascii="Times New Roman" w:hAnsi="Times New Roman" w:cs="Times New Roman"/>
          <w:sz w:val="22"/>
          <w:szCs w:val="22"/>
        </w:rPr>
        <w:t xml:space="preserve">est aussi </w:t>
      </w:r>
      <w:r w:rsidR="007A1608" w:rsidRPr="00AF0862">
        <w:rPr>
          <w:rFonts w:ascii="Times New Roman" w:hAnsi="Times New Roman" w:cs="Times New Roman"/>
          <w:sz w:val="22"/>
          <w:szCs w:val="22"/>
        </w:rPr>
        <w:t xml:space="preserve">à démontrer </w:t>
      </w:r>
      <w:r w:rsidRPr="00AF0862">
        <w:rPr>
          <w:rFonts w:ascii="Times New Roman" w:hAnsi="Times New Roman" w:cs="Times New Roman"/>
          <w:sz w:val="22"/>
          <w:szCs w:val="22"/>
        </w:rPr>
        <w:t xml:space="preserve">dans la période de 5 ans </w:t>
      </w:r>
      <w:r w:rsidR="008962D9" w:rsidRPr="00AF0862">
        <w:rPr>
          <w:rFonts w:ascii="Times New Roman" w:hAnsi="Times New Roman" w:cs="Times New Roman"/>
          <w:sz w:val="22"/>
          <w:szCs w:val="22"/>
        </w:rPr>
        <w:t>précédant</w:t>
      </w:r>
      <w:r w:rsidRPr="00AF0862">
        <w:rPr>
          <w:rFonts w:ascii="Times New Roman" w:hAnsi="Times New Roman" w:cs="Times New Roman"/>
          <w:sz w:val="22"/>
          <w:szCs w:val="22"/>
        </w:rPr>
        <w:t xml:space="preserve"> la demande en déchéance. </w:t>
      </w:r>
      <w:r w:rsidR="007A1608" w:rsidRPr="00AF0862">
        <w:rPr>
          <w:rFonts w:ascii="Times New Roman" w:hAnsi="Times New Roman" w:cs="Times New Roman"/>
          <w:sz w:val="22"/>
          <w:szCs w:val="22"/>
        </w:rPr>
        <w:t>Mais ces</w:t>
      </w:r>
      <w:r w:rsidRPr="00AF0862">
        <w:rPr>
          <w:rFonts w:ascii="Times New Roman" w:hAnsi="Times New Roman" w:cs="Times New Roman"/>
          <w:sz w:val="22"/>
          <w:szCs w:val="22"/>
        </w:rPr>
        <w:t xml:space="preserve"> textes ne précise</w:t>
      </w:r>
      <w:r w:rsidR="007A1608" w:rsidRPr="00AF0862">
        <w:rPr>
          <w:rFonts w:ascii="Times New Roman" w:hAnsi="Times New Roman" w:cs="Times New Roman"/>
          <w:sz w:val="22"/>
          <w:szCs w:val="22"/>
        </w:rPr>
        <w:t>nt pas</w:t>
      </w:r>
      <w:r w:rsidRPr="00AF0862">
        <w:rPr>
          <w:rFonts w:ascii="Times New Roman" w:hAnsi="Times New Roman" w:cs="Times New Roman"/>
          <w:sz w:val="22"/>
          <w:szCs w:val="22"/>
        </w:rPr>
        <w:t xml:space="preserve"> ce qu’on entend par « usage sérieux », il faut donc s’en référer à leur application. Il en ressort que cela implique une exploitation réelle pour créer ou maintenir sa place sur son marché. La jurisprudence regarde si l’usage est continu et effectif, </w:t>
      </w:r>
      <w:r w:rsidR="008720F4" w:rsidRPr="00AF0862">
        <w:rPr>
          <w:rFonts w:ascii="Times New Roman" w:hAnsi="Times New Roman" w:cs="Times New Roman"/>
          <w:sz w:val="22"/>
          <w:szCs w:val="22"/>
        </w:rPr>
        <w:t xml:space="preserve">si le titulaire a </w:t>
      </w:r>
      <w:r w:rsidRPr="00AF0862">
        <w:rPr>
          <w:rFonts w:ascii="Times New Roman" w:hAnsi="Times New Roman" w:cs="Times New Roman"/>
          <w:sz w:val="22"/>
          <w:szCs w:val="22"/>
        </w:rPr>
        <w:t>tout fai</w:t>
      </w:r>
      <w:r w:rsidR="008720F4" w:rsidRPr="00AF0862">
        <w:rPr>
          <w:rFonts w:ascii="Times New Roman" w:hAnsi="Times New Roman" w:cs="Times New Roman"/>
          <w:sz w:val="22"/>
          <w:szCs w:val="22"/>
        </w:rPr>
        <w:t>t</w:t>
      </w:r>
      <w:r w:rsidRPr="00AF0862">
        <w:rPr>
          <w:rFonts w:ascii="Times New Roman" w:hAnsi="Times New Roman" w:cs="Times New Roman"/>
          <w:sz w:val="22"/>
          <w:szCs w:val="22"/>
        </w:rPr>
        <w:t xml:space="preserve"> pour l’exploiter commercialement. Pour cela la preuve est libre, donc large, cela peut être</w:t>
      </w:r>
      <w:r w:rsidR="008962D9" w:rsidRPr="00AF0862">
        <w:rPr>
          <w:rFonts w:ascii="Times New Roman" w:hAnsi="Times New Roman" w:cs="Times New Roman"/>
          <w:sz w:val="22"/>
          <w:szCs w:val="22"/>
        </w:rPr>
        <w:t>,</w:t>
      </w:r>
      <w:r w:rsidRPr="00AF0862">
        <w:rPr>
          <w:rFonts w:ascii="Times New Roman" w:hAnsi="Times New Roman" w:cs="Times New Roman"/>
          <w:sz w:val="22"/>
          <w:szCs w:val="22"/>
        </w:rPr>
        <w:t xml:space="preserve"> comme soulevé par la juridiction d’appel</w:t>
      </w:r>
      <w:r w:rsidR="008962D9" w:rsidRPr="00AF0862">
        <w:rPr>
          <w:rFonts w:ascii="Times New Roman" w:hAnsi="Times New Roman" w:cs="Times New Roman"/>
          <w:sz w:val="22"/>
          <w:szCs w:val="22"/>
        </w:rPr>
        <w:t>,</w:t>
      </w:r>
      <w:r w:rsidRPr="00AF0862">
        <w:rPr>
          <w:rFonts w:ascii="Times New Roman" w:hAnsi="Times New Roman" w:cs="Times New Roman"/>
          <w:sz w:val="22"/>
          <w:szCs w:val="22"/>
        </w:rPr>
        <w:t xml:space="preserve"> des campagnes marketing, des publicités pour les produits litigieux</w:t>
      </w:r>
      <w:r w:rsidR="00704E65">
        <w:rPr>
          <w:rFonts w:ascii="Times New Roman" w:hAnsi="Times New Roman" w:cs="Times New Roman"/>
          <w:sz w:val="22"/>
          <w:szCs w:val="22"/>
        </w:rPr>
        <w:t xml:space="preserve">, montrant que la marque n’est pas délaissée. </w:t>
      </w:r>
    </w:p>
    <w:p w14:paraId="0849B2A0" w14:textId="77777777" w:rsidR="003E3546" w:rsidRPr="00AF0862" w:rsidRDefault="003E3546" w:rsidP="00AF0862">
      <w:pPr>
        <w:spacing w:line="276" w:lineRule="auto"/>
        <w:jc w:val="both"/>
        <w:rPr>
          <w:rFonts w:ascii="Times New Roman" w:hAnsi="Times New Roman" w:cs="Times New Roman"/>
          <w:sz w:val="22"/>
          <w:szCs w:val="22"/>
        </w:rPr>
      </w:pPr>
    </w:p>
    <w:p w14:paraId="443E5D44" w14:textId="77777777" w:rsidR="008962D9" w:rsidRPr="00AF0862" w:rsidRDefault="008962D9" w:rsidP="00AF0862">
      <w:pPr>
        <w:spacing w:line="276" w:lineRule="auto"/>
        <w:jc w:val="both"/>
        <w:rPr>
          <w:rFonts w:ascii="Times New Roman" w:hAnsi="Times New Roman" w:cs="Times New Roman"/>
          <w:sz w:val="22"/>
          <w:szCs w:val="22"/>
        </w:rPr>
      </w:pPr>
    </w:p>
    <w:p w14:paraId="5E0A5AB0" w14:textId="20D3D163" w:rsidR="008962D9" w:rsidRPr="00704E65" w:rsidRDefault="008962D9" w:rsidP="00C87496">
      <w:pPr>
        <w:spacing w:line="276" w:lineRule="auto"/>
        <w:jc w:val="both"/>
        <w:rPr>
          <w:rFonts w:ascii="Times New Roman" w:hAnsi="Times New Roman" w:cs="Times New Roman"/>
          <w:b/>
          <w:bCs/>
          <w:sz w:val="22"/>
          <w:szCs w:val="22"/>
        </w:rPr>
      </w:pPr>
      <w:r w:rsidRPr="00704E65">
        <w:rPr>
          <w:rFonts w:ascii="Times New Roman" w:hAnsi="Times New Roman" w:cs="Times New Roman"/>
          <w:b/>
          <w:bCs/>
          <w:sz w:val="22"/>
          <w:szCs w:val="22"/>
        </w:rPr>
        <w:t>La séparation par la jurisprudence de la CJUE de la catégorie et l</w:t>
      </w:r>
      <w:r w:rsidR="00194853">
        <w:rPr>
          <w:rFonts w:ascii="Times New Roman" w:hAnsi="Times New Roman" w:cs="Times New Roman"/>
          <w:b/>
          <w:bCs/>
          <w:sz w:val="22"/>
          <w:szCs w:val="22"/>
        </w:rPr>
        <w:t>es</w:t>
      </w:r>
      <w:r w:rsidRPr="00704E65">
        <w:rPr>
          <w:rFonts w:ascii="Times New Roman" w:hAnsi="Times New Roman" w:cs="Times New Roman"/>
          <w:b/>
          <w:bCs/>
          <w:sz w:val="22"/>
          <w:szCs w:val="22"/>
        </w:rPr>
        <w:t xml:space="preserve"> sous-catégorie</w:t>
      </w:r>
      <w:r w:rsidR="00194853">
        <w:rPr>
          <w:rFonts w:ascii="Times New Roman" w:hAnsi="Times New Roman" w:cs="Times New Roman"/>
          <w:b/>
          <w:bCs/>
          <w:sz w:val="22"/>
          <w:szCs w:val="22"/>
        </w:rPr>
        <w:t>s</w:t>
      </w:r>
      <w:r w:rsidRPr="00704E65">
        <w:rPr>
          <w:rFonts w:ascii="Times New Roman" w:hAnsi="Times New Roman" w:cs="Times New Roman"/>
          <w:b/>
          <w:bCs/>
          <w:sz w:val="22"/>
          <w:szCs w:val="22"/>
        </w:rPr>
        <w:t xml:space="preserve"> autonome</w:t>
      </w:r>
      <w:r w:rsidR="00194853">
        <w:rPr>
          <w:rFonts w:ascii="Times New Roman" w:hAnsi="Times New Roman" w:cs="Times New Roman"/>
          <w:b/>
          <w:bCs/>
          <w:sz w:val="22"/>
          <w:szCs w:val="22"/>
        </w:rPr>
        <w:t>s</w:t>
      </w:r>
    </w:p>
    <w:p w14:paraId="13D539BF" w14:textId="77777777" w:rsidR="003E3546" w:rsidRPr="00AF0862" w:rsidRDefault="003E3546" w:rsidP="00AF0862">
      <w:pPr>
        <w:spacing w:line="276" w:lineRule="auto"/>
        <w:jc w:val="both"/>
        <w:rPr>
          <w:rFonts w:ascii="Times New Roman" w:hAnsi="Times New Roman" w:cs="Times New Roman"/>
          <w:sz w:val="22"/>
          <w:szCs w:val="22"/>
        </w:rPr>
      </w:pPr>
    </w:p>
    <w:p w14:paraId="1FD89B17" w14:textId="2CB4A486" w:rsidR="003E3546" w:rsidRPr="00AF0862" w:rsidRDefault="007D127A" w:rsidP="00AF0862">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Les juges du 5 quai de l’horloge ont alors utilisé les articles du CPI pour apprécier l’usage sérieux par Skin’up. Et pour cela ils se sont basés sur l’interprétation faite 5 ans plus tôt par la CJUE notamment dans 2 affaires, don</w:t>
      </w:r>
      <w:r w:rsidR="00704E65">
        <w:rPr>
          <w:rFonts w:ascii="Times New Roman" w:hAnsi="Times New Roman" w:cs="Times New Roman"/>
          <w:sz w:val="22"/>
          <w:szCs w:val="22"/>
        </w:rPr>
        <w:t>t</w:t>
      </w:r>
      <w:r w:rsidRPr="00AF0862">
        <w:rPr>
          <w:rFonts w:ascii="Times New Roman" w:hAnsi="Times New Roman" w:cs="Times New Roman"/>
          <w:sz w:val="22"/>
          <w:szCs w:val="22"/>
        </w:rPr>
        <w:t xml:space="preserve"> la célèbre Ferrari</w:t>
      </w:r>
      <w:r w:rsidR="00FC42FD" w:rsidRPr="00AF0862">
        <w:rPr>
          <w:rFonts w:ascii="Times New Roman" w:hAnsi="Times New Roman" w:cs="Times New Roman"/>
          <w:sz w:val="22"/>
          <w:szCs w:val="22"/>
        </w:rPr>
        <w:t xml:space="preserve">, notamment pour </w:t>
      </w:r>
      <w:r w:rsidR="00704E65">
        <w:rPr>
          <w:rFonts w:ascii="Times New Roman" w:hAnsi="Times New Roman" w:cs="Times New Roman"/>
          <w:sz w:val="22"/>
          <w:szCs w:val="22"/>
        </w:rPr>
        <w:t xml:space="preserve">apprécier </w:t>
      </w:r>
      <w:r w:rsidR="00FC42FD" w:rsidRPr="00AF0862">
        <w:rPr>
          <w:rFonts w:ascii="Times New Roman" w:hAnsi="Times New Roman" w:cs="Times New Roman"/>
          <w:sz w:val="22"/>
          <w:szCs w:val="22"/>
        </w:rPr>
        <w:t xml:space="preserve">l’article L716-3. La CJUE </w:t>
      </w:r>
      <w:r w:rsidR="008720F4" w:rsidRPr="00AF0862">
        <w:rPr>
          <w:rFonts w:ascii="Times New Roman" w:hAnsi="Times New Roman" w:cs="Times New Roman"/>
          <w:sz w:val="22"/>
          <w:szCs w:val="22"/>
        </w:rPr>
        <w:t>en a dégagé</w:t>
      </w:r>
      <w:r w:rsidR="00FC42FD" w:rsidRPr="00AF0862">
        <w:rPr>
          <w:rFonts w:ascii="Times New Roman" w:hAnsi="Times New Roman" w:cs="Times New Roman"/>
          <w:sz w:val="22"/>
          <w:szCs w:val="22"/>
        </w:rPr>
        <w:t xml:space="preserve"> 2 possibilités. </w:t>
      </w:r>
    </w:p>
    <w:p w14:paraId="689EF423" w14:textId="0A0D36A4" w:rsidR="00FC42FD" w:rsidRPr="00AF0862" w:rsidRDefault="00FC42FD" w:rsidP="00C87496">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La première option, lorsque le produit se trouve dans une catégorie définie suffisamment précise et circonscrite où il est impossible d’effectuer des subdivisions</w:t>
      </w:r>
      <w:r w:rsidR="00A51819">
        <w:rPr>
          <w:rFonts w:ascii="Times New Roman" w:hAnsi="Times New Roman" w:cs="Times New Roman"/>
          <w:sz w:val="22"/>
          <w:szCs w:val="22"/>
        </w:rPr>
        <w:t>.</w:t>
      </w:r>
      <w:r w:rsidR="00944A5C" w:rsidRPr="00AF0862">
        <w:rPr>
          <w:rFonts w:ascii="Times New Roman" w:hAnsi="Times New Roman" w:cs="Times New Roman"/>
          <w:sz w:val="22"/>
          <w:szCs w:val="22"/>
        </w:rPr>
        <w:t xml:space="preserve"> </w:t>
      </w:r>
      <w:r w:rsidR="00A51819">
        <w:rPr>
          <w:rFonts w:ascii="Times New Roman" w:hAnsi="Times New Roman" w:cs="Times New Roman"/>
          <w:sz w:val="22"/>
          <w:szCs w:val="22"/>
        </w:rPr>
        <w:t>L</w:t>
      </w:r>
      <w:r w:rsidR="00944A5C" w:rsidRPr="00AF0862">
        <w:rPr>
          <w:rFonts w:ascii="Times New Roman" w:hAnsi="Times New Roman" w:cs="Times New Roman"/>
          <w:sz w:val="22"/>
          <w:szCs w:val="22"/>
        </w:rPr>
        <w:t xml:space="preserve">e consommateur associera alors la marque aux produits pour laquelle elle a été enregistrée, ce qui remplit sa fonction essentielle. </w:t>
      </w:r>
      <w:r w:rsidR="000C7082" w:rsidRPr="00AF0862">
        <w:rPr>
          <w:rFonts w:ascii="Times New Roman" w:hAnsi="Times New Roman" w:cs="Times New Roman"/>
          <w:sz w:val="22"/>
          <w:szCs w:val="22"/>
        </w:rPr>
        <w:t>Alors</w:t>
      </w:r>
      <w:r w:rsidR="00944A5C" w:rsidRPr="00AF0862">
        <w:rPr>
          <w:rFonts w:ascii="Times New Roman" w:hAnsi="Times New Roman" w:cs="Times New Roman"/>
          <w:sz w:val="22"/>
          <w:szCs w:val="22"/>
        </w:rPr>
        <w:t xml:space="preserve"> le titulaire doit</w:t>
      </w:r>
      <w:r w:rsidR="000C7082" w:rsidRPr="00AF0862">
        <w:rPr>
          <w:rFonts w:ascii="Times New Roman" w:hAnsi="Times New Roman" w:cs="Times New Roman"/>
          <w:sz w:val="22"/>
          <w:szCs w:val="22"/>
        </w:rPr>
        <w:t xml:space="preserve"> juste </w:t>
      </w:r>
      <w:r w:rsidR="00944A5C" w:rsidRPr="00AF0862">
        <w:rPr>
          <w:rFonts w:ascii="Times New Roman" w:hAnsi="Times New Roman" w:cs="Times New Roman"/>
          <w:sz w:val="22"/>
          <w:szCs w:val="22"/>
        </w:rPr>
        <w:t xml:space="preserve">démontrer l’usage sérieux pour une partie des produits relevant de cette catégorie homogène. </w:t>
      </w:r>
    </w:p>
    <w:p w14:paraId="310A0753" w14:textId="00F96BB7" w:rsidR="00944A5C" w:rsidRPr="00AF0862" w:rsidRDefault="00944A5C" w:rsidP="00AF0862">
      <w:pPr>
        <w:spacing w:line="276" w:lineRule="auto"/>
        <w:jc w:val="both"/>
        <w:rPr>
          <w:rFonts w:ascii="Times New Roman" w:hAnsi="Times New Roman" w:cs="Times New Roman"/>
          <w:sz w:val="22"/>
          <w:szCs w:val="22"/>
        </w:rPr>
      </w:pPr>
      <w:r w:rsidRPr="00AF0862">
        <w:rPr>
          <w:rFonts w:ascii="Times New Roman" w:hAnsi="Times New Roman" w:cs="Times New Roman"/>
          <w:sz w:val="22"/>
          <w:szCs w:val="22"/>
        </w:rPr>
        <w:lastRenderedPageBreak/>
        <w:t xml:space="preserve">La seconde option c’est lorsque le produit se trouve dans une catégorie définie mais susceptible d’être subdivisée en sous-catégories autonomes, </w:t>
      </w:r>
      <w:r w:rsidR="000C7082" w:rsidRPr="00AF0862">
        <w:rPr>
          <w:rFonts w:ascii="Times New Roman" w:hAnsi="Times New Roman" w:cs="Times New Roman"/>
          <w:sz w:val="22"/>
          <w:szCs w:val="22"/>
        </w:rPr>
        <w:t>du fait de sa largeur</w:t>
      </w:r>
      <w:r w:rsidRPr="00AF0862">
        <w:rPr>
          <w:rFonts w:ascii="Times New Roman" w:hAnsi="Times New Roman" w:cs="Times New Roman"/>
          <w:sz w:val="22"/>
          <w:szCs w:val="22"/>
        </w:rPr>
        <w:t>. Dans ce cas</w:t>
      </w:r>
      <w:r w:rsidR="008E09D0">
        <w:rPr>
          <w:rFonts w:ascii="Times New Roman" w:hAnsi="Times New Roman" w:cs="Times New Roman"/>
          <w:sz w:val="22"/>
          <w:szCs w:val="22"/>
        </w:rPr>
        <w:t>,</w:t>
      </w:r>
      <w:r w:rsidRPr="00AF0862">
        <w:rPr>
          <w:rFonts w:ascii="Times New Roman" w:hAnsi="Times New Roman" w:cs="Times New Roman"/>
          <w:sz w:val="22"/>
          <w:szCs w:val="22"/>
        </w:rPr>
        <w:t xml:space="preserve"> la preuve de l’usage sérieux doit être rapportée pour chaque sous-catégorie autonome pour lesquelles la marque est enregistrée, à défaut</w:t>
      </w:r>
      <w:r w:rsidR="000C7082" w:rsidRPr="00AF0862">
        <w:rPr>
          <w:rFonts w:ascii="Times New Roman" w:hAnsi="Times New Roman" w:cs="Times New Roman"/>
          <w:sz w:val="22"/>
          <w:szCs w:val="22"/>
        </w:rPr>
        <w:t xml:space="preserve"> de</w:t>
      </w:r>
      <w:r w:rsidRPr="00AF0862">
        <w:rPr>
          <w:rFonts w:ascii="Times New Roman" w:hAnsi="Times New Roman" w:cs="Times New Roman"/>
          <w:sz w:val="22"/>
          <w:szCs w:val="22"/>
        </w:rPr>
        <w:t xml:space="preserve"> déchéance pour chaque sous-catégorie. </w:t>
      </w:r>
    </w:p>
    <w:p w14:paraId="5225F08B" w14:textId="41440B8A" w:rsidR="00147D0B" w:rsidRPr="00AF0862" w:rsidRDefault="00147D0B" w:rsidP="00C87496">
      <w:pPr>
        <w:spacing w:line="276" w:lineRule="auto"/>
        <w:ind w:firstLine="708"/>
        <w:jc w:val="both"/>
        <w:rPr>
          <w:rFonts w:ascii="Times New Roman" w:hAnsi="Times New Roman" w:cs="Times New Roman"/>
          <w:sz w:val="22"/>
          <w:szCs w:val="22"/>
        </w:rPr>
      </w:pPr>
      <w:r w:rsidRPr="00AF0862">
        <w:rPr>
          <w:rFonts w:ascii="Times New Roman" w:hAnsi="Times New Roman" w:cs="Times New Roman"/>
          <w:sz w:val="22"/>
          <w:szCs w:val="22"/>
        </w:rPr>
        <w:t xml:space="preserve">Les juges de cassation </w:t>
      </w:r>
      <w:r w:rsidR="00BC30D2">
        <w:rPr>
          <w:rFonts w:ascii="Times New Roman" w:hAnsi="Times New Roman" w:cs="Times New Roman"/>
          <w:sz w:val="22"/>
          <w:szCs w:val="22"/>
        </w:rPr>
        <w:t>ne choisissent</w:t>
      </w:r>
      <w:r w:rsidRPr="00AF0862">
        <w:rPr>
          <w:rFonts w:ascii="Times New Roman" w:hAnsi="Times New Roman" w:cs="Times New Roman"/>
          <w:sz w:val="22"/>
          <w:szCs w:val="22"/>
        </w:rPr>
        <w:t xml:space="preserve"> pas </w:t>
      </w:r>
      <w:r w:rsidR="00BC30D2">
        <w:rPr>
          <w:rFonts w:ascii="Times New Roman" w:hAnsi="Times New Roman" w:cs="Times New Roman"/>
          <w:sz w:val="22"/>
          <w:szCs w:val="22"/>
        </w:rPr>
        <w:t>entre les deux solutions, car l’appréciation relève des juges du fond. Ils cassent néanmoins l’arrêt, estimant que la Cour d’appel</w:t>
      </w:r>
      <w:r w:rsidR="00AF220C" w:rsidRPr="00AF0862">
        <w:rPr>
          <w:rFonts w:ascii="Times New Roman" w:hAnsi="Times New Roman" w:cs="Times New Roman"/>
          <w:sz w:val="22"/>
          <w:szCs w:val="22"/>
        </w:rPr>
        <w:t xml:space="preserve"> </w:t>
      </w:r>
      <w:r w:rsidRPr="00AF0862">
        <w:rPr>
          <w:rFonts w:ascii="Times New Roman" w:hAnsi="Times New Roman" w:cs="Times New Roman"/>
          <w:sz w:val="22"/>
          <w:szCs w:val="22"/>
        </w:rPr>
        <w:t xml:space="preserve">a violé les textes susvisés. </w:t>
      </w:r>
      <w:r w:rsidR="00BC30D2">
        <w:rPr>
          <w:rFonts w:ascii="Times New Roman" w:hAnsi="Times New Roman" w:cs="Times New Roman"/>
          <w:sz w:val="22"/>
          <w:szCs w:val="22"/>
        </w:rPr>
        <w:t>Celle-ci aurait dû vérifier si la catégorie</w:t>
      </w:r>
      <w:r w:rsidRPr="00AF0862">
        <w:rPr>
          <w:rFonts w:ascii="Times New Roman" w:hAnsi="Times New Roman" w:cs="Times New Roman"/>
          <w:sz w:val="22"/>
          <w:szCs w:val="22"/>
        </w:rPr>
        <w:t xml:space="preserve"> </w:t>
      </w:r>
      <w:r w:rsidR="00BC30D2">
        <w:rPr>
          <w:rFonts w:ascii="Times New Roman" w:hAnsi="Times New Roman" w:cs="Times New Roman"/>
          <w:sz w:val="22"/>
          <w:szCs w:val="22"/>
        </w:rPr>
        <w:t xml:space="preserve">des </w:t>
      </w:r>
      <w:r w:rsidRPr="00AF0862">
        <w:rPr>
          <w:rFonts w:ascii="Times New Roman" w:hAnsi="Times New Roman" w:cs="Times New Roman"/>
          <w:sz w:val="22"/>
          <w:szCs w:val="22"/>
        </w:rPr>
        <w:t xml:space="preserve">« cosméto-textiles » </w:t>
      </w:r>
      <w:r w:rsidR="00BC30D2">
        <w:rPr>
          <w:rFonts w:ascii="Times New Roman" w:hAnsi="Times New Roman" w:cs="Times New Roman"/>
          <w:sz w:val="22"/>
          <w:szCs w:val="22"/>
        </w:rPr>
        <w:t>ne constituait</w:t>
      </w:r>
      <w:r w:rsidRPr="00AF0862">
        <w:rPr>
          <w:rFonts w:ascii="Times New Roman" w:hAnsi="Times New Roman" w:cs="Times New Roman"/>
          <w:sz w:val="22"/>
          <w:szCs w:val="22"/>
        </w:rPr>
        <w:t xml:space="preserve"> pas</w:t>
      </w:r>
      <w:r w:rsidR="00BC30D2">
        <w:rPr>
          <w:rFonts w:ascii="Times New Roman" w:hAnsi="Times New Roman" w:cs="Times New Roman"/>
          <w:sz w:val="22"/>
          <w:szCs w:val="22"/>
        </w:rPr>
        <w:t>,</w:t>
      </w:r>
      <w:r w:rsidRPr="00AF0862">
        <w:rPr>
          <w:rFonts w:ascii="Times New Roman" w:hAnsi="Times New Roman" w:cs="Times New Roman"/>
          <w:sz w:val="22"/>
          <w:szCs w:val="22"/>
        </w:rPr>
        <w:t xml:space="preserve"> en réalité</w:t>
      </w:r>
      <w:r w:rsidR="00BC30D2">
        <w:rPr>
          <w:rFonts w:ascii="Times New Roman" w:hAnsi="Times New Roman" w:cs="Times New Roman"/>
          <w:sz w:val="22"/>
          <w:szCs w:val="22"/>
        </w:rPr>
        <w:t>,</w:t>
      </w:r>
      <w:r w:rsidRPr="00AF0862">
        <w:rPr>
          <w:rFonts w:ascii="Times New Roman" w:hAnsi="Times New Roman" w:cs="Times New Roman"/>
          <w:sz w:val="22"/>
          <w:szCs w:val="22"/>
        </w:rPr>
        <w:t xml:space="preserve"> une sous-catégorie autonome de la large catégorie </w:t>
      </w:r>
      <w:r w:rsidR="00BC30D2">
        <w:rPr>
          <w:rFonts w:ascii="Times New Roman" w:hAnsi="Times New Roman" w:cs="Times New Roman"/>
          <w:sz w:val="22"/>
          <w:szCs w:val="22"/>
        </w:rPr>
        <w:t xml:space="preserve">des </w:t>
      </w:r>
      <w:r w:rsidRPr="00AF0862">
        <w:rPr>
          <w:rFonts w:ascii="Times New Roman" w:hAnsi="Times New Roman" w:cs="Times New Roman"/>
          <w:sz w:val="22"/>
          <w:szCs w:val="22"/>
        </w:rPr>
        <w:t>« cosmétiques »</w:t>
      </w:r>
      <w:r w:rsidR="008962D9" w:rsidRPr="00AF0862">
        <w:rPr>
          <w:rFonts w:ascii="Times New Roman" w:hAnsi="Times New Roman" w:cs="Times New Roman"/>
          <w:sz w:val="22"/>
          <w:szCs w:val="22"/>
        </w:rPr>
        <w:t>.</w:t>
      </w:r>
    </w:p>
    <w:p w14:paraId="5E29637C" w14:textId="77777777" w:rsidR="00944A5C" w:rsidRPr="00AF0862" w:rsidRDefault="00944A5C" w:rsidP="00AF0862">
      <w:pPr>
        <w:spacing w:line="276" w:lineRule="auto"/>
        <w:jc w:val="both"/>
        <w:rPr>
          <w:rFonts w:ascii="Times New Roman" w:hAnsi="Times New Roman" w:cs="Times New Roman"/>
          <w:sz w:val="22"/>
          <w:szCs w:val="22"/>
        </w:rPr>
      </w:pPr>
    </w:p>
    <w:p w14:paraId="7B420BF0" w14:textId="081773EA" w:rsidR="000119D6" w:rsidRPr="00AF0862" w:rsidRDefault="000011D3" w:rsidP="00C87496">
      <w:pPr>
        <w:spacing w:line="276" w:lineRule="auto"/>
        <w:ind w:firstLine="708"/>
        <w:jc w:val="both"/>
        <w:rPr>
          <w:rFonts w:ascii="Times New Roman" w:hAnsi="Times New Roman" w:cs="Times New Roman"/>
          <w:sz w:val="22"/>
          <w:szCs w:val="22"/>
        </w:rPr>
      </w:pPr>
      <w:r w:rsidRPr="00AF0862">
        <w:rPr>
          <w:rFonts w:ascii="Times New Roman" w:hAnsi="Times New Roman" w:cs="Times New Roman"/>
          <w:sz w:val="22"/>
          <w:szCs w:val="22"/>
        </w:rPr>
        <w:t xml:space="preserve">Pour </w:t>
      </w:r>
      <w:r w:rsidR="007D71C9" w:rsidRPr="00AF0862">
        <w:rPr>
          <w:rFonts w:ascii="Times New Roman" w:hAnsi="Times New Roman" w:cs="Times New Roman"/>
          <w:sz w:val="22"/>
          <w:szCs w:val="22"/>
        </w:rPr>
        <w:t>pousser</w:t>
      </w:r>
      <w:r w:rsidRPr="00AF0862">
        <w:rPr>
          <w:rFonts w:ascii="Times New Roman" w:hAnsi="Times New Roman" w:cs="Times New Roman"/>
          <w:sz w:val="22"/>
          <w:szCs w:val="22"/>
        </w:rPr>
        <w:t xml:space="preserve"> son interprétation, la CJUE a </w:t>
      </w:r>
      <w:r w:rsidR="00AF220C" w:rsidRPr="00AF0862">
        <w:rPr>
          <w:rFonts w:ascii="Times New Roman" w:hAnsi="Times New Roman" w:cs="Times New Roman"/>
          <w:sz w:val="22"/>
          <w:szCs w:val="22"/>
        </w:rPr>
        <w:t xml:space="preserve">précisé </w:t>
      </w:r>
      <w:r w:rsidRPr="00AF0862">
        <w:rPr>
          <w:rFonts w:ascii="Times New Roman" w:hAnsi="Times New Roman" w:cs="Times New Roman"/>
          <w:sz w:val="22"/>
          <w:szCs w:val="22"/>
        </w:rPr>
        <w:t>comment apprécier l’existence d’une sous-catégorie autonome. Et les critères principaux sont ceux de la finalité et destination des produits en cause, à travers une appréciation concrète. Il faut que le consommateur effectue cette mise en relation</w:t>
      </w:r>
      <w:r w:rsidR="000119D6" w:rsidRPr="00AF0862">
        <w:rPr>
          <w:rFonts w:ascii="Times New Roman" w:hAnsi="Times New Roman" w:cs="Times New Roman"/>
          <w:sz w:val="22"/>
          <w:szCs w:val="22"/>
        </w:rPr>
        <w:t xml:space="preserve"> des produits litigieux avec la catégorie pour laquelle </w:t>
      </w:r>
      <w:r w:rsidR="007D71C9" w:rsidRPr="00AF0862">
        <w:rPr>
          <w:rFonts w:ascii="Times New Roman" w:hAnsi="Times New Roman" w:cs="Times New Roman"/>
          <w:sz w:val="22"/>
          <w:szCs w:val="22"/>
        </w:rPr>
        <w:t>ils</w:t>
      </w:r>
      <w:r w:rsidR="000119D6" w:rsidRPr="00AF0862">
        <w:rPr>
          <w:rFonts w:ascii="Times New Roman" w:hAnsi="Times New Roman" w:cs="Times New Roman"/>
          <w:sz w:val="22"/>
          <w:szCs w:val="22"/>
        </w:rPr>
        <w:t xml:space="preserve"> ont été enregistrés, afin d’apprécier s’il</w:t>
      </w:r>
      <w:r w:rsidR="008962D9" w:rsidRPr="00AF0862">
        <w:rPr>
          <w:rFonts w:ascii="Times New Roman" w:hAnsi="Times New Roman" w:cs="Times New Roman"/>
          <w:sz w:val="22"/>
          <w:szCs w:val="22"/>
        </w:rPr>
        <w:t>s</w:t>
      </w:r>
      <w:r w:rsidR="000119D6" w:rsidRPr="00AF0862">
        <w:rPr>
          <w:rFonts w:ascii="Times New Roman" w:hAnsi="Times New Roman" w:cs="Times New Roman"/>
          <w:sz w:val="22"/>
          <w:szCs w:val="22"/>
        </w:rPr>
        <w:t xml:space="preserve"> </w:t>
      </w:r>
      <w:r w:rsidR="008962D9" w:rsidRPr="00AF0862">
        <w:rPr>
          <w:rFonts w:ascii="Times New Roman" w:hAnsi="Times New Roman" w:cs="Times New Roman"/>
          <w:sz w:val="22"/>
          <w:szCs w:val="22"/>
        </w:rPr>
        <w:t>sont dans une</w:t>
      </w:r>
      <w:r w:rsidR="000119D6" w:rsidRPr="00AF0862">
        <w:rPr>
          <w:rFonts w:ascii="Times New Roman" w:hAnsi="Times New Roman" w:cs="Times New Roman"/>
          <w:sz w:val="22"/>
          <w:szCs w:val="22"/>
        </w:rPr>
        <w:t xml:space="preserve"> sous-catégorie autonome. </w:t>
      </w:r>
    </w:p>
    <w:p w14:paraId="794FC976" w14:textId="78ADAF39" w:rsidR="00944A5C" w:rsidRPr="00AF0862" w:rsidRDefault="000119D6" w:rsidP="00C87496">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En l’espèce</w:t>
      </w:r>
      <w:r w:rsidR="00BC30D2">
        <w:rPr>
          <w:rFonts w:ascii="Times New Roman" w:hAnsi="Times New Roman" w:cs="Times New Roman"/>
          <w:sz w:val="22"/>
          <w:szCs w:val="22"/>
        </w:rPr>
        <w:t>,</w:t>
      </w:r>
      <w:r w:rsidRPr="00AF0862">
        <w:rPr>
          <w:rFonts w:ascii="Times New Roman" w:hAnsi="Times New Roman" w:cs="Times New Roman"/>
          <w:sz w:val="22"/>
          <w:szCs w:val="22"/>
        </w:rPr>
        <w:t xml:space="preserve"> on cherche à savoir si la catégorie « cosmétiques » peut être subdivisée, par rapport aux produits litigieux, en sous-catégorie « cosméto-textiles ». Ce sera alors au juge de vérifier la perception des consommateurs, s’ils considèrent la sous-catégorie de façon distincte que la catégorie large. </w:t>
      </w:r>
      <w:r w:rsidR="00CF49C0" w:rsidRPr="00AF0862">
        <w:rPr>
          <w:rFonts w:ascii="Times New Roman" w:hAnsi="Times New Roman" w:cs="Times New Roman"/>
          <w:sz w:val="22"/>
          <w:szCs w:val="22"/>
        </w:rPr>
        <w:t>L</w:t>
      </w:r>
      <w:r w:rsidRPr="00AF0862">
        <w:rPr>
          <w:rFonts w:ascii="Times New Roman" w:hAnsi="Times New Roman" w:cs="Times New Roman"/>
          <w:sz w:val="22"/>
          <w:szCs w:val="22"/>
        </w:rPr>
        <w:t xml:space="preserve">e juge doit aussi regarder du côté du titulaire de la marque, a-t-il traité cette sous-catégorie de façon différente, par exemple avec un marketing </w:t>
      </w:r>
      <w:r w:rsidR="00704E65">
        <w:rPr>
          <w:rFonts w:ascii="Times New Roman" w:hAnsi="Times New Roman" w:cs="Times New Roman"/>
          <w:sz w:val="22"/>
          <w:szCs w:val="22"/>
        </w:rPr>
        <w:t xml:space="preserve">ou un accent </w:t>
      </w:r>
      <w:r w:rsidRPr="00AF0862">
        <w:rPr>
          <w:rFonts w:ascii="Times New Roman" w:hAnsi="Times New Roman" w:cs="Times New Roman"/>
          <w:sz w:val="22"/>
          <w:szCs w:val="22"/>
        </w:rPr>
        <w:t xml:space="preserve">spécifique. </w:t>
      </w:r>
      <w:r w:rsidR="007D71C9" w:rsidRPr="00AF0862">
        <w:rPr>
          <w:rFonts w:ascii="Times New Roman" w:hAnsi="Times New Roman" w:cs="Times New Roman"/>
          <w:sz w:val="22"/>
          <w:szCs w:val="22"/>
        </w:rPr>
        <w:t>Il</w:t>
      </w:r>
      <w:r w:rsidRPr="00AF0862">
        <w:rPr>
          <w:rFonts w:ascii="Times New Roman" w:hAnsi="Times New Roman" w:cs="Times New Roman"/>
          <w:sz w:val="22"/>
          <w:szCs w:val="22"/>
        </w:rPr>
        <w:t xml:space="preserve"> doit </w:t>
      </w:r>
      <w:r w:rsidRPr="00AF0862">
        <w:rPr>
          <w:rFonts w:ascii="Times New Roman" w:hAnsi="Times New Roman" w:cs="Times New Roman"/>
          <w:sz w:val="22"/>
          <w:szCs w:val="22"/>
        </w:rPr>
        <w:t xml:space="preserve">enfin l’apprécier au regard des caractéristiques propres de la sous-catégorie : y a-t-il des usages ou une distribution qui diffère pour les produits de cette sous-catégorie. </w:t>
      </w:r>
      <w:r w:rsidR="00CB03F8" w:rsidRPr="00AF0862">
        <w:rPr>
          <w:rFonts w:ascii="Times New Roman" w:hAnsi="Times New Roman" w:cs="Times New Roman"/>
          <w:sz w:val="22"/>
          <w:szCs w:val="22"/>
        </w:rPr>
        <w:t xml:space="preserve">Le tout repose sur l’appréciation souveraine des juges. En l’espèce cette partie-là n’est pas </w:t>
      </w:r>
      <w:r w:rsidR="00704E65">
        <w:rPr>
          <w:rFonts w:ascii="Times New Roman" w:hAnsi="Times New Roman" w:cs="Times New Roman"/>
          <w:sz w:val="22"/>
          <w:szCs w:val="22"/>
        </w:rPr>
        <w:t>traitée</w:t>
      </w:r>
      <w:r w:rsidR="00CB03F8" w:rsidRPr="00AF0862">
        <w:rPr>
          <w:rFonts w:ascii="Times New Roman" w:hAnsi="Times New Roman" w:cs="Times New Roman"/>
          <w:sz w:val="22"/>
          <w:szCs w:val="22"/>
        </w:rPr>
        <w:t>, mais c’est ce que devra faire le juge de renvoi, c’est-à-dire la juridiction d’appel de Nancy</w:t>
      </w:r>
      <w:r w:rsidR="00704E65">
        <w:rPr>
          <w:rFonts w:ascii="Times New Roman" w:hAnsi="Times New Roman" w:cs="Times New Roman"/>
          <w:sz w:val="22"/>
          <w:szCs w:val="22"/>
        </w:rPr>
        <w:t xml:space="preserve"> pour trancher le litige et savoir si la marque tombera ou pas en déchéance. </w:t>
      </w:r>
    </w:p>
    <w:p w14:paraId="64840710" w14:textId="77777777" w:rsidR="00193BFA" w:rsidRPr="00AF0862" w:rsidRDefault="00193BFA" w:rsidP="00AF0862">
      <w:pPr>
        <w:spacing w:line="276" w:lineRule="auto"/>
        <w:jc w:val="both"/>
        <w:rPr>
          <w:rFonts w:ascii="Times New Roman" w:hAnsi="Times New Roman" w:cs="Times New Roman"/>
          <w:sz w:val="22"/>
          <w:szCs w:val="22"/>
        </w:rPr>
      </w:pPr>
    </w:p>
    <w:p w14:paraId="42C0CCAE" w14:textId="77777777" w:rsidR="008962D9" w:rsidRPr="00AF0862" w:rsidRDefault="008962D9" w:rsidP="00AF0862">
      <w:pPr>
        <w:spacing w:line="276" w:lineRule="auto"/>
        <w:jc w:val="both"/>
        <w:rPr>
          <w:rFonts w:ascii="Times New Roman" w:hAnsi="Times New Roman" w:cs="Times New Roman"/>
          <w:sz w:val="22"/>
          <w:szCs w:val="22"/>
        </w:rPr>
      </w:pPr>
    </w:p>
    <w:p w14:paraId="54E34C0A" w14:textId="5C8720B9" w:rsidR="00193BFA" w:rsidRPr="00704E65" w:rsidRDefault="00AF0862" w:rsidP="00704E65">
      <w:pPr>
        <w:spacing w:line="276" w:lineRule="auto"/>
        <w:jc w:val="both"/>
        <w:rPr>
          <w:rFonts w:ascii="Times New Roman" w:hAnsi="Times New Roman" w:cs="Times New Roman"/>
          <w:b/>
          <w:bCs/>
          <w:i/>
          <w:iCs/>
          <w:sz w:val="22"/>
          <w:szCs w:val="22"/>
        </w:rPr>
      </w:pPr>
      <w:r w:rsidRPr="00704E65">
        <w:rPr>
          <w:rFonts w:ascii="Times New Roman" w:hAnsi="Times New Roman" w:cs="Times New Roman"/>
          <w:b/>
          <w:bCs/>
          <w:i/>
          <w:iCs/>
          <w:sz w:val="22"/>
          <w:szCs w:val="22"/>
        </w:rPr>
        <w:t>Effets et p</w:t>
      </w:r>
      <w:r w:rsidR="00193BFA" w:rsidRPr="00704E65">
        <w:rPr>
          <w:rFonts w:ascii="Times New Roman" w:hAnsi="Times New Roman" w:cs="Times New Roman"/>
          <w:b/>
          <w:bCs/>
          <w:i/>
          <w:iCs/>
          <w:sz w:val="22"/>
          <w:szCs w:val="22"/>
        </w:rPr>
        <w:t>ortée</w:t>
      </w:r>
      <w:r w:rsidRPr="00704E65">
        <w:rPr>
          <w:rFonts w:ascii="Times New Roman" w:hAnsi="Times New Roman" w:cs="Times New Roman"/>
          <w:b/>
          <w:bCs/>
          <w:i/>
          <w:iCs/>
          <w:sz w:val="22"/>
          <w:szCs w:val="22"/>
        </w:rPr>
        <w:t xml:space="preserve"> juridique</w:t>
      </w:r>
    </w:p>
    <w:p w14:paraId="35818271" w14:textId="77777777" w:rsidR="00147D0B" w:rsidRPr="00AF0862" w:rsidRDefault="00147D0B" w:rsidP="00AF0862">
      <w:pPr>
        <w:spacing w:line="276" w:lineRule="auto"/>
        <w:jc w:val="both"/>
        <w:rPr>
          <w:rFonts w:ascii="Times New Roman" w:hAnsi="Times New Roman" w:cs="Times New Roman"/>
          <w:sz w:val="22"/>
          <w:szCs w:val="22"/>
        </w:rPr>
      </w:pPr>
    </w:p>
    <w:p w14:paraId="431167BA" w14:textId="44AE9B98" w:rsidR="007D25C1" w:rsidRPr="00AF0862" w:rsidRDefault="00147D0B" w:rsidP="00AF0862">
      <w:pPr>
        <w:spacing w:line="276" w:lineRule="auto"/>
        <w:ind w:firstLine="360"/>
        <w:jc w:val="both"/>
        <w:rPr>
          <w:rFonts w:ascii="Times New Roman" w:hAnsi="Times New Roman" w:cs="Times New Roman"/>
          <w:sz w:val="22"/>
          <w:szCs w:val="22"/>
        </w:rPr>
      </w:pPr>
      <w:r w:rsidRPr="00AF0862">
        <w:rPr>
          <w:rFonts w:ascii="Times New Roman" w:hAnsi="Times New Roman" w:cs="Times New Roman"/>
          <w:sz w:val="22"/>
          <w:szCs w:val="22"/>
        </w:rPr>
        <w:t>Cette décision vient encourager</w:t>
      </w:r>
      <w:r w:rsidR="00E801C0" w:rsidRPr="00AF0862">
        <w:rPr>
          <w:rFonts w:ascii="Times New Roman" w:hAnsi="Times New Roman" w:cs="Times New Roman"/>
          <w:sz w:val="22"/>
          <w:szCs w:val="22"/>
        </w:rPr>
        <w:t xml:space="preserve"> un usage réel, plus précis, qui colle aux produits sous </w:t>
      </w:r>
      <w:r w:rsidR="008962D9" w:rsidRPr="00AF0862">
        <w:rPr>
          <w:rFonts w:ascii="Times New Roman" w:hAnsi="Times New Roman" w:cs="Times New Roman"/>
          <w:sz w:val="22"/>
          <w:szCs w:val="22"/>
        </w:rPr>
        <w:t>la</w:t>
      </w:r>
      <w:r w:rsidR="00E801C0" w:rsidRPr="00AF0862">
        <w:rPr>
          <w:rFonts w:ascii="Times New Roman" w:hAnsi="Times New Roman" w:cs="Times New Roman"/>
          <w:sz w:val="22"/>
          <w:szCs w:val="22"/>
        </w:rPr>
        <w:t xml:space="preserve"> protection offerte par la marque</w:t>
      </w:r>
      <w:r w:rsidR="008E4CD9" w:rsidRPr="00AF0862">
        <w:rPr>
          <w:rFonts w:ascii="Times New Roman" w:hAnsi="Times New Roman" w:cs="Times New Roman"/>
          <w:sz w:val="22"/>
          <w:szCs w:val="22"/>
        </w:rPr>
        <w:t xml:space="preserve">, puisque le risque encouru par les titulaires est </w:t>
      </w:r>
      <w:r w:rsidRPr="00AF0862">
        <w:rPr>
          <w:rFonts w:ascii="Times New Roman" w:hAnsi="Times New Roman" w:cs="Times New Roman"/>
          <w:sz w:val="22"/>
          <w:szCs w:val="22"/>
        </w:rPr>
        <w:t>s</w:t>
      </w:r>
      <w:r w:rsidR="008E4CD9" w:rsidRPr="00AF0862">
        <w:rPr>
          <w:rFonts w:ascii="Times New Roman" w:hAnsi="Times New Roman" w:cs="Times New Roman"/>
          <w:sz w:val="22"/>
          <w:szCs w:val="22"/>
        </w:rPr>
        <w:t>a déchéance partielle</w:t>
      </w:r>
      <w:r w:rsidR="00E801C0" w:rsidRPr="00AF0862">
        <w:rPr>
          <w:rFonts w:ascii="Times New Roman" w:hAnsi="Times New Roman" w:cs="Times New Roman"/>
          <w:sz w:val="22"/>
          <w:szCs w:val="22"/>
        </w:rPr>
        <w:t>.</w:t>
      </w:r>
      <w:r w:rsidRPr="00AF0862">
        <w:rPr>
          <w:rFonts w:ascii="Times New Roman" w:hAnsi="Times New Roman" w:cs="Times New Roman"/>
          <w:sz w:val="22"/>
          <w:szCs w:val="22"/>
        </w:rPr>
        <w:t xml:space="preserve"> </w:t>
      </w:r>
      <w:r w:rsidR="008962D9" w:rsidRPr="00AF0862">
        <w:rPr>
          <w:rFonts w:ascii="Times New Roman" w:hAnsi="Times New Roman" w:cs="Times New Roman"/>
          <w:sz w:val="22"/>
          <w:szCs w:val="22"/>
        </w:rPr>
        <w:t>C</w:t>
      </w:r>
      <w:r w:rsidRPr="00AF0862">
        <w:rPr>
          <w:rFonts w:ascii="Times New Roman" w:hAnsi="Times New Roman" w:cs="Times New Roman"/>
          <w:sz w:val="22"/>
          <w:szCs w:val="22"/>
        </w:rPr>
        <w:t>ette décision</w:t>
      </w:r>
      <w:r w:rsidR="00E801C0" w:rsidRPr="00AF0862">
        <w:rPr>
          <w:rFonts w:ascii="Times New Roman" w:hAnsi="Times New Roman" w:cs="Times New Roman"/>
          <w:sz w:val="22"/>
          <w:szCs w:val="22"/>
        </w:rPr>
        <w:t xml:space="preserve"> lutte </w:t>
      </w:r>
      <w:r w:rsidR="008962D9" w:rsidRPr="00AF0862">
        <w:rPr>
          <w:rFonts w:ascii="Times New Roman" w:hAnsi="Times New Roman" w:cs="Times New Roman"/>
          <w:sz w:val="22"/>
          <w:szCs w:val="22"/>
        </w:rPr>
        <w:t xml:space="preserve">aussi </w:t>
      </w:r>
      <w:r w:rsidR="00E801C0" w:rsidRPr="00AF0862">
        <w:rPr>
          <w:rFonts w:ascii="Times New Roman" w:hAnsi="Times New Roman" w:cs="Times New Roman"/>
          <w:sz w:val="22"/>
          <w:szCs w:val="22"/>
        </w:rPr>
        <w:t>contre des abus effectués par certains qui déposent une marque pour des catégories trop larges pour ce qu’elles sont réellement. Positivement cela permet alors de libérer de</w:t>
      </w:r>
      <w:r w:rsidR="008962D9" w:rsidRPr="00AF0862">
        <w:rPr>
          <w:rFonts w:ascii="Times New Roman" w:hAnsi="Times New Roman" w:cs="Times New Roman"/>
          <w:sz w:val="22"/>
          <w:szCs w:val="22"/>
        </w:rPr>
        <w:t>s</w:t>
      </w:r>
      <w:r w:rsidR="00E801C0" w:rsidRPr="00AF0862">
        <w:rPr>
          <w:rFonts w:ascii="Times New Roman" w:hAnsi="Times New Roman" w:cs="Times New Roman"/>
          <w:sz w:val="22"/>
          <w:szCs w:val="22"/>
        </w:rPr>
        <w:t xml:space="preserve"> catégories pour d’autres marques</w:t>
      </w:r>
      <w:r w:rsidR="00EF0007" w:rsidRPr="00AF0862">
        <w:rPr>
          <w:rFonts w:ascii="Times New Roman" w:hAnsi="Times New Roman" w:cs="Times New Roman"/>
          <w:sz w:val="22"/>
          <w:szCs w:val="22"/>
        </w:rPr>
        <w:t>, notamment lorsque sont déchues des marques « endormies »</w:t>
      </w:r>
      <w:r w:rsidR="008962D9" w:rsidRPr="00AF0862">
        <w:rPr>
          <w:rFonts w:ascii="Times New Roman" w:hAnsi="Times New Roman" w:cs="Times New Roman"/>
          <w:sz w:val="22"/>
          <w:szCs w:val="22"/>
        </w:rPr>
        <w:t>,</w:t>
      </w:r>
      <w:r w:rsidR="008E4CD9" w:rsidRPr="00AF0862">
        <w:rPr>
          <w:rFonts w:ascii="Times New Roman" w:hAnsi="Times New Roman" w:cs="Times New Roman"/>
          <w:sz w:val="22"/>
          <w:szCs w:val="22"/>
        </w:rPr>
        <w:t xml:space="preserve"> et </w:t>
      </w:r>
      <w:r w:rsidR="008962D9" w:rsidRPr="00AF0862">
        <w:rPr>
          <w:rFonts w:ascii="Times New Roman" w:hAnsi="Times New Roman" w:cs="Times New Roman"/>
          <w:sz w:val="22"/>
          <w:szCs w:val="22"/>
        </w:rPr>
        <w:t>fait</w:t>
      </w:r>
      <w:r w:rsidRPr="00AF0862">
        <w:rPr>
          <w:rFonts w:ascii="Times New Roman" w:hAnsi="Times New Roman" w:cs="Times New Roman"/>
          <w:sz w:val="22"/>
          <w:szCs w:val="22"/>
        </w:rPr>
        <w:t xml:space="preserve"> </w:t>
      </w:r>
      <w:r w:rsidR="008E4CD9" w:rsidRPr="00AF0862">
        <w:rPr>
          <w:rFonts w:ascii="Times New Roman" w:hAnsi="Times New Roman" w:cs="Times New Roman"/>
          <w:sz w:val="22"/>
          <w:szCs w:val="22"/>
        </w:rPr>
        <w:t>jouer le jeu de la concurrence</w:t>
      </w:r>
      <w:r w:rsidR="00EF0007" w:rsidRPr="00AF0862">
        <w:rPr>
          <w:rFonts w:ascii="Times New Roman" w:hAnsi="Times New Roman" w:cs="Times New Roman"/>
          <w:sz w:val="22"/>
          <w:szCs w:val="22"/>
        </w:rPr>
        <w:t>. Cela a un impact sur les stratégies des dépôts des marques</w:t>
      </w:r>
      <w:r w:rsidR="00BC30D2">
        <w:rPr>
          <w:rFonts w:ascii="Times New Roman" w:hAnsi="Times New Roman" w:cs="Times New Roman"/>
          <w:sz w:val="22"/>
          <w:szCs w:val="22"/>
        </w:rPr>
        <w:t> :</w:t>
      </w:r>
      <w:r w:rsidRPr="00AF0862">
        <w:rPr>
          <w:rFonts w:ascii="Times New Roman" w:hAnsi="Times New Roman" w:cs="Times New Roman"/>
          <w:sz w:val="22"/>
          <w:szCs w:val="22"/>
        </w:rPr>
        <w:t xml:space="preserve"> désormais il faut</w:t>
      </w:r>
      <w:r w:rsidR="008E4CD9" w:rsidRPr="00AF0862">
        <w:rPr>
          <w:rFonts w:ascii="Times New Roman" w:hAnsi="Times New Roman" w:cs="Times New Roman"/>
          <w:sz w:val="22"/>
          <w:szCs w:val="22"/>
        </w:rPr>
        <w:t xml:space="preserve"> </w:t>
      </w:r>
      <w:r w:rsidR="00F93BBF">
        <w:rPr>
          <w:rFonts w:ascii="Times New Roman" w:hAnsi="Times New Roman" w:cs="Times New Roman"/>
          <w:sz w:val="22"/>
          <w:szCs w:val="22"/>
        </w:rPr>
        <w:t>précisément</w:t>
      </w:r>
      <w:r w:rsidR="008E4CD9" w:rsidRPr="00AF0862">
        <w:rPr>
          <w:rFonts w:ascii="Times New Roman" w:hAnsi="Times New Roman" w:cs="Times New Roman"/>
          <w:sz w:val="22"/>
          <w:szCs w:val="22"/>
        </w:rPr>
        <w:t xml:space="preserve"> définir sa catégorie, assurer un usage sérieux pour chaque sous</w:t>
      </w:r>
      <w:r w:rsidRPr="00AF0862">
        <w:rPr>
          <w:rFonts w:ascii="Times New Roman" w:hAnsi="Times New Roman" w:cs="Times New Roman"/>
          <w:sz w:val="22"/>
          <w:szCs w:val="22"/>
        </w:rPr>
        <w:t>-</w:t>
      </w:r>
      <w:r w:rsidR="008E4CD9" w:rsidRPr="00AF0862">
        <w:rPr>
          <w:rFonts w:ascii="Times New Roman" w:hAnsi="Times New Roman" w:cs="Times New Roman"/>
          <w:sz w:val="22"/>
          <w:szCs w:val="22"/>
        </w:rPr>
        <w:t>catégorie autonome</w:t>
      </w:r>
      <w:r w:rsidRPr="00AF0862">
        <w:rPr>
          <w:rFonts w:ascii="Times New Roman" w:hAnsi="Times New Roman" w:cs="Times New Roman"/>
          <w:sz w:val="22"/>
          <w:szCs w:val="22"/>
        </w:rPr>
        <w:t xml:space="preserve">, notamment </w:t>
      </w:r>
      <w:r w:rsidR="008E4CD9" w:rsidRPr="00AF0862">
        <w:rPr>
          <w:rFonts w:ascii="Times New Roman" w:hAnsi="Times New Roman" w:cs="Times New Roman"/>
          <w:sz w:val="22"/>
          <w:szCs w:val="22"/>
        </w:rPr>
        <w:t>à travers une bonne documentation</w:t>
      </w:r>
      <w:r w:rsidRPr="00AF0862">
        <w:rPr>
          <w:rFonts w:ascii="Times New Roman" w:hAnsi="Times New Roman" w:cs="Times New Roman"/>
          <w:sz w:val="22"/>
          <w:szCs w:val="22"/>
        </w:rPr>
        <w:t xml:space="preserve"> de son usage sérieux</w:t>
      </w:r>
      <w:r w:rsidR="008E4CD9" w:rsidRPr="00AF0862">
        <w:rPr>
          <w:rFonts w:ascii="Times New Roman" w:hAnsi="Times New Roman" w:cs="Times New Roman"/>
          <w:sz w:val="22"/>
          <w:szCs w:val="22"/>
        </w:rPr>
        <w:t xml:space="preserve">. </w:t>
      </w:r>
    </w:p>
    <w:p w14:paraId="17941F2D" w14:textId="77777777" w:rsidR="008962D9" w:rsidRPr="00AF0862" w:rsidRDefault="008962D9" w:rsidP="00AF0862">
      <w:pPr>
        <w:spacing w:line="276" w:lineRule="auto"/>
        <w:jc w:val="both"/>
        <w:rPr>
          <w:rFonts w:ascii="Times New Roman" w:hAnsi="Times New Roman" w:cs="Times New Roman"/>
          <w:sz w:val="22"/>
          <w:szCs w:val="22"/>
        </w:rPr>
      </w:pPr>
    </w:p>
    <w:p w14:paraId="5F5904D9" w14:textId="77777777" w:rsidR="00AF0862" w:rsidRPr="00AF0862" w:rsidRDefault="00AF0862" w:rsidP="00AF0862">
      <w:pPr>
        <w:spacing w:line="276" w:lineRule="auto"/>
        <w:jc w:val="both"/>
        <w:rPr>
          <w:rFonts w:ascii="Times New Roman" w:hAnsi="Times New Roman" w:cs="Times New Roman"/>
          <w:sz w:val="22"/>
          <w:szCs w:val="22"/>
        </w:rPr>
      </w:pPr>
    </w:p>
    <w:p w14:paraId="4C89C750" w14:textId="35FEA416" w:rsidR="00AF0862" w:rsidRPr="00AF0862" w:rsidRDefault="008962D9" w:rsidP="00AF0862">
      <w:pPr>
        <w:spacing w:line="276" w:lineRule="auto"/>
        <w:jc w:val="right"/>
        <w:rPr>
          <w:rFonts w:ascii="Times New Roman" w:hAnsi="Times New Roman" w:cs="Times New Roman"/>
          <w:sz w:val="22"/>
          <w:szCs w:val="22"/>
        </w:rPr>
      </w:pPr>
      <w:r w:rsidRPr="00AF0862">
        <w:rPr>
          <w:rFonts w:ascii="Times New Roman" w:hAnsi="Times New Roman" w:cs="Times New Roman"/>
          <w:sz w:val="22"/>
          <w:szCs w:val="22"/>
        </w:rPr>
        <w:t xml:space="preserve">Theo LE GUILLOU </w:t>
      </w:r>
    </w:p>
    <w:p w14:paraId="6CB82516" w14:textId="1282D4F9" w:rsidR="00AF0862" w:rsidRPr="00AF0862" w:rsidRDefault="008962D9" w:rsidP="00AF0862">
      <w:pPr>
        <w:spacing w:line="276" w:lineRule="auto"/>
        <w:jc w:val="right"/>
        <w:rPr>
          <w:rFonts w:ascii="Times New Roman" w:hAnsi="Times New Roman" w:cs="Times New Roman"/>
          <w:sz w:val="22"/>
          <w:szCs w:val="22"/>
        </w:rPr>
      </w:pPr>
      <w:r w:rsidRPr="00AF0862">
        <w:rPr>
          <w:rFonts w:ascii="Times New Roman" w:hAnsi="Times New Roman" w:cs="Times New Roman"/>
          <w:sz w:val="22"/>
          <w:szCs w:val="22"/>
        </w:rPr>
        <w:t xml:space="preserve">Master 2 Droit des Industries Culturelles et Créatives </w:t>
      </w:r>
    </w:p>
    <w:p w14:paraId="5026E9F1" w14:textId="6A7B8180" w:rsidR="008962D9" w:rsidRPr="00AF0862" w:rsidRDefault="008962D9" w:rsidP="009E61F2">
      <w:pPr>
        <w:spacing w:line="276" w:lineRule="auto"/>
        <w:jc w:val="right"/>
        <w:rPr>
          <w:rFonts w:ascii="Times New Roman" w:hAnsi="Times New Roman" w:cs="Times New Roman"/>
          <w:sz w:val="22"/>
          <w:szCs w:val="22"/>
        </w:rPr>
        <w:sectPr w:rsidR="008962D9" w:rsidRPr="00AF0862" w:rsidSect="00411C12">
          <w:type w:val="continuous"/>
          <w:pgSz w:w="11906" w:h="16838"/>
          <w:pgMar w:top="1417" w:right="1417" w:bottom="1417" w:left="1417" w:header="708" w:footer="708" w:gutter="0"/>
          <w:cols w:num="2" w:space="708"/>
          <w:docGrid w:linePitch="360"/>
        </w:sectPr>
      </w:pPr>
      <w:r w:rsidRPr="00AF0862">
        <w:rPr>
          <w:rFonts w:ascii="Times New Roman" w:hAnsi="Times New Roman" w:cs="Times New Roman"/>
          <w:sz w:val="22"/>
          <w:szCs w:val="22"/>
        </w:rPr>
        <w:t>AIX-MARSEILLE UNIVERSITÉ</w:t>
      </w:r>
      <w:r w:rsidR="00AF0862" w:rsidRPr="00AF0862">
        <w:rPr>
          <w:rFonts w:ascii="Times New Roman" w:hAnsi="Times New Roman" w:cs="Times New Roman"/>
          <w:sz w:val="22"/>
          <w:szCs w:val="22"/>
        </w:rPr>
        <w:t>,</w:t>
      </w:r>
      <w:r w:rsidRPr="00AF0862">
        <w:rPr>
          <w:rFonts w:ascii="Times New Roman" w:hAnsi="Times New Roman" w:cs="Times New Roman"/>
          <w:sz w:val="22"/>
          <w:szCs w:val="22"/>
        </w:rPr>
        <w:t xml:space="preserve"> LID2MS-IREDIC 202</w:t>
      </w:r>
      <w:r w:rsidR="00AF0862" w:rsidRPr="00AF0862">
        <w:rPr>
          <w:rFonts w:ascii="Times New Roman" w:hAnsi="Times New Roman" w:cs="Times New Roman"/>
          <w:sz w:val="22"/>
          <w:szCs w:val="22"/>
        </w:rPr>
        <w:t>5</w:t>
      </w:r>
      <w:r w:rsidR="00BC30D2">
        <w:rPr>
          <w:rFonts w:ascii="Times New Roman" w:hAnsi="Times New Roman" w:cs="Times New Roman"/>
          <w:sz w:val="22"/>
          <w:szCs w:val="22"/>
        </w:rPr>
        <w:t>-2026 Faculté de droit</w:t>
      </w:r>
    </w:p>
    <w:p w14:paraId="43EDC5AA" w14:textId="32279E01" w:rsidR="00B66D8D" w:rsidRDefault="00B66D8D">
      <w:pPr>
        <w:rPr>
          <w:rFonts w:ascii="Times New Roman" w:hAnsi="Times New Roman" w:cs="Times New Roman"/>
          <w:sz w:val="22"/>
          <w:szCs w:val="22"/>
        </w:rPr>
      </w:pPr>
      <w:r>
        <w:rPr>
          <w:rFonts w:ascii="Times New Roman" w:hAnsi="Times New Roman" w:cs="Times New Roman"/>
          <w:sz w:val="22"/>
          <w:szCs w:val="22"/>
        </w:rPr>
        <w:br w:type="page"/>
      </w:r>
    </w:p>
    <w:p w14:paraId="600FA336" w14:textId="77777777" w:rsidR="00B66D8D" w:rsidRDefault="00B66D8D"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sectPr w:rsidR="00B66D8D" w:rsidSect="00411C12">
          <w:type w:val="continuous"/>
          <w:pgSz w:w="11906" w:h="16838"/>
          <w:pgMar w:top="1417" w:right="1417" w:bottom="1417" w:left="1417" w:header="708" w:footer="708" w:gutter="0"/>
          <w:cols w:space="708"/>
          <w:docGrid w:linePitch="360"/>
        </w:sectPr>
      </w:pPr>
    </w:p>
    <w:p w14:paraId="2634331A" w14:textId="3929E262" w:rsidR="00B66D8D" w:rsidRPr="00B66D8D" w:rsidRDefault="00B66D8D" w:rsidP="00B66D8D">
      <w:pPr>
        <w:spacing w:line="276" w:lineRule="auto"/>
        <w:jc w:val="both"/>
        <w:rPr>
          <w:rFonts w:ascii="Times New Roman" w:eastAsia="Times New Roman" w:hAnsi="Times New Roman" w:cs="Times New Roman"/>
          <w:b/>
          <w:bCs/>
          <w:color w:val="000000"/>
          <w:kern w:val="0"/>
          <w:sz w:val="22"/>
          <w:szCs w:val="22"/>
          <w:shd w:val="clear" w:color="auto" w:fill="FFFFFF"/>
          <w:lang w:eastAsia="fr-FR"/>
          <w14:ligatures w14:val="none"/>
        </w:rPr>
      </w:pPr>
      <w:r w:rsidRPr="00B66D8D">
        <w:rPr>
          <w:rFonts w:ascii="Times New Roman" w:eastAsia="Times New Roman" w:hAnsi="Times New Roman" w:cs="Times New Roman"/>
          <w:b/>
          <w:bCs/>
          <w:color w:val="000000"/>
          <w:kern w:val="0"/>
          <w:sz w:val="22"/>
          <w:szCs w:val="22"/>
          <w:shd w:val="clear" w:color="auto" w:fill="FFFFFF"/>
          <w:lang w:eastAsia="fr-FR"/>
          <w14:ligatures w14:val="none"/>
        </w:rPr>
        <w:lastRenderedPageBreak/>
        <w:t>ARRÊT</w:t>
      </w:r>
    </w:p>
    <w:p w14:paraId="018377B2" w14:textId="77777777" w:rsidR="00B66D8D" w:rsidRDefault="00B66D8D"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p>
    <w:p w14:paraId="67F027C0" w14:textId="39A1FD4C" w:rsidR="00B66D8D" w:rsidRDefault="00B66D8D"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r>
        <w:rPr>
          <w:rFonts w:ascii="Times New Roman" w:eastAsia="Times New Roman" w:hAnsi="Times New Roman" w:cs="Times New Roman"/>
          <w:color w:val="000000"/>
          <w:kern w:val="0"/>
          <w:sz w:val="22"/>
          <w:szCs w:val="22"/>
          <w:shd w:val="clear" w:color="auto" w:fill="FFFFFF"/>
          <w:lang w:eastAsia="fr-FR"/>
          <w14:ligatures w14:val="none"/>
        </w:rPr>
        <w:t>(…)</w:t>
      </w:r>
    </w:p>
    <w:p w14:paraId="4C3CA37E" w14:textId="77777777" w:rsidR="00B66D8D" w:rsidRDefault="00B66D8D"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p>
    <w:p w14:paraId="2C821E8D" w14:textId="7A98526C"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Faits et procédure</w:t>
      </w:r>
    </w:p>
    <w:p w14:paraId="45BBBF3F" w14:textId="409EEF79"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1. Selon l'arrêt attaqué (Colmar, 30 août 2023),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est titulaire de la marque verbale française «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 n° 3 293 789, notamment enregistrée pour désigner, en classe 3, les « préparations pour blanchir et autres substances pour lessiver ; préparations pour nettoyer, polir, dégraisser et abraser ; savons ; parfums, huiles essentielles, cosmétiques, lotions pour les cheveux ; dentifrices ; Dépilatoires ; produits de démaquillage ; rouge à lèvres ; masques de beauté ; produits de rasage ; produits pour la conservation du cuir (cirages) ; crèmes pour le cuir ».</w:t>
      </w:r>
    </w:p>
    <w:p w14:paraId="13E6559C" w14:textId="2C55C0B6"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2. Le 1er octobre 2020, la société Univers pharmacie, titulaire de marques « UP skin », a présenté une demande en déchéance des droits de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sur sa marque n° 3 293 789 en tant qu'elle a été enregistrée pour les produits désignés en classe 3.</w:t>
      </w:r>
    </w:p>
    <w:p w14:paraId="33E9B218" w14:textId="70CED218" w:rsidR="00B66D8D" w:rsidRDefault="00B66D8D"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3. Par une décision du 23 juillet 2021, le directeur général de l'Institut national de la propriété industrielle (INPI) a dit la demande en déchéance partiellement justifiée, la marque étant maintenue pour désigner les « huiles essentielles » et les « cosmétiques ».</w:t>
      </w:r>
    </w:p>
    <w:p w14:paraId="6B8D1C07" w14:textId="77777777" w:rsidR="0086297A" w:rsidRDefault="0086297A" w:rsidP="00B66D8D">
      <w:pPr>
        <w:spacing w:line="276" w:lineRule="auto"/>
        <w:jc w:val="both"/>
        <w:rPr>
          <w:rFonts w:ascii="Times New Roman" w:eastAsia="Times New Roman" w:hAnsi="Times New Roman" w:cs="Times New Roman"/>
          <w:color w:val="000000"/>
          <w:kern w:val="0"/>
          <w:sz w:val="22"/>
          <w:szCs w:val="22"/>
          <w:lang w:eastAsia="fr-FR"/>
          <w14:ligatures w14:val="none"/>
        </w:rPr>
      </w:pPr>
    </w:p>
    <w:p w14:paraId="65F1082E" w14:textId="495EC39A"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Examen du moyen</w:t>
      </w:r>
    </w:p>
    <w:p w14:paraId="01412CEF" w14:textId="5382BF8A"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Sur le moyen, pris en sa deuxième branche, en tant qu'il fait grief à l'arrêt de rejeter la demande de déchéance de la marque pour les huiles essentielles</w:t>
      </w:r>
    </w:p>
    <w:p w14:paraId="51CC36D9" w14:textId="59FAEDBE"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Enoncé</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du moyen</w:t>
      </w:r>
    </w:p>
    <w:p w14:paraId="14E2620F" w14:textId="0A7F7F59" w:rsidR="00B66D8D" w:rsidRDefault="00B66D8D"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4. La société Univers Pharmacie fait grief à l'arrêt de dire que le titulaire de la marque a démontré son usage sérieux pour les « huiles essentielles » et, en conséquence, d'écarter la demande de déchéance de la marque pour ces produits, alors « qu'encourt la déchéance de ses droits le titulaire de la marque qui, sans justes motifs, n'en a pas fait un usage sérieux, pour les produits ou services pour lesquels la marque est enregistrée, pendant une période ininterrompue de cinq ans ; que l'appréciation de l'usage </w:t>
      </w: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sérieux de la marque pour un produit implique que celui-ci soit commercialisé avec cette marque et non simplement utilisé comme composant d'un autre produit revêtu de la marque ; qu'en l'espèce, la société Univers Pharmacie faisait valoir, dans ses conclusions d'appel, que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ne commercialisait pas des huiles essentielles, mais seulement des vêtements cosméto-textiles comprenant, à l'intérieur, des substances encapsulées, dont des huiles essentielles, pour en déduire la déchéance des droits de cette société sur la marque litigieuse pour la catégorie "huiles essentielles" ; que la cour d'appel a relevé que "les produits litigieux sont des cosméto-textiles, qui comprennent à l'intérieur du tissu différentes substances dont les huiles essentielles, et la brume amincissante, dont les huiles essentielles ne sont qu'une composante de celle-ci" ; qu'en rejetant la demande de déchéance pour la catégorie "huiles essentielles", au prétexte que les produits litigieux comportaient des huiles essentielles, la cour d'appel a confondu les produits et leurs composants, violant ainsi les articles L. 714-5 et L. 716-3 du code de la propriété intellectuelle. »</w:t>
      </w:r>
    </w:p>
    <w:p w14:paraId="35FBA319" w14:textId="77777777" w:rsidR="0086297A" w:rsidRDefault="0086297A" w:rsidP="00B66D8D">
      <w:pPr>
        <w:spacing w:line="276" w:lineRule="auto"/>
        <w:jc w:val="both"/>
        <w:rPr>
          <w:rFonts w:ascii="Times New Roman" w:eastAsia="Times New Roman" w:hAnsi="Times New Roman" w:cs="Times New Roman"/>
          <w:color w:val="000000"/>
          <w:kern w:val="0"/>
          <w:sz w:val="22"/>
          <w:szCs w:val="22"/>
          <w:lang w:eastAsia="fr-FR"/>
          <w14:ligatures w14:val="none"/>
        </w:rPr>
      </w:pPr>
    </w:p>
    <w:p w14:paraId="1F7A97BF" w14:textId="58452D55"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Réponse de la Cour</w:t>
      </w:r>
    </w:p>
    <w:p w14:paraId="33587D0B" w14:textId="70E8F1F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Vu les articles L. 714-5 et L. 716-3 du code de la propriété intellectuelle :</w:t>
      </w:r>
    </w:p>
    <w:p w14:paraId="2529C683" w14:textId="339773A3"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5. Pour dire que le titulaire de la marque a démontré son usage sérieux pour les « huiles essentielles », l'arrêt retient qu'il ressort des documents produits que la marque a fait l'objet d'un usage sérieux pour les produits cosméto-textiles et la brume commercialisés par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qui sont des cosmétiques dans la composition desquels entrent des huiles essentielles.</w:t>
      </w:r>
      <w:r w:rsidRPr="00B66D8D">
        <w:rPr>
          <w:rFonts w:ascii="Times New Roman" w:eastAsia="Times New Roman" w:hAnsi="Times New Roman" w:cs="Times New Roman"/>
          <w:color w:val="000000"/>
          <w:kern w:val="0"/>
          <w:sz w:val="22"/>
          <w:szCs w:val="22"/>
          <w:lang w:eastAsia="fr-FR"/>
          <w14:ligatures w14:val="none"/>
        </w:rPr>
        <w:br/>
      </w: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6. En statuant ainsi, alors que les preuves d'usage de la marque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pour commercialiser des produits cosmétiques dans la composition desquels entrent des huiles essentielles ne pouvaient en elles-mêmes valoir comme preuves d'usage de la marque pour les huiles essentielles, la cour d'appel a violé les textes susvisés. </w:t>
      </w:r>
    </w:p>
    <w:p w14:paraId="71E04920" w14:textId="77777777" w:rsidR="0086297A" w:rsidRDefault="0086297A"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p>
    <w:p w14:paraId="0E4B410F" w14:textId="2328DE2E"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lastRenderedPageBreak/>
        <w:t>Et sur le moyen, pris en sa troisième branche, en tant qu'il fait grief à l'arrêt de rejeter la demande de déchéance de la marque pour les cosmétiques</w:t>
      </w:r>
    </w:p>
    <w:p w14:paraId="44DD51C3" w14:textId="11ACBD6B"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Enoncé</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du moyen</w:t>
      </w:r>
    </w:p>
    <w:p w14:paraId="189183F8"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7. La société Univers pharmacie fait grief à l'arrêt de dire que le titulaire de la marque a démontré son usage sérieux pour les « cosmétiques » et, en conséquence, d'écarter la demande de déchéance de la marque pour ces produits, alors « qu'encourt la déchéance de ses droits le titulaire de la marque qui, sans justes motifs, n'en a pas fait un usage sérieux, pour les produits ou services pour lesquels la marque est enregistrée, pendant une période ininterrompue de cinq ans ; que la demande en déchéance peut porter sur une partie ou sur la totalité des produits ou des services pour lesquels la marque contestée est enregistrée ; que, si une marque a été enregistrée pour une catégorie de produits ou de services suffisamment large pour que puissent être distinguées, en son sein, plusieurs sous-catégories susceptibles d'être envisagées de manière autonome, la preuve de l'usage sérieux de la marque pour une partie de ces produits ou services n'emporte protection que pour la sous-catégorie autonome pour lesquels la marque a été effectivement utilisée ; qu'en l'espèce, la société Univers Pharmacie faisait valoir, dans ses conclusions d'appel, que les produits litigieux de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constituaient une sous-catégorie autonome de "cosméto-textiles amincissants" et qu'il convenait de prononcer la déchéance partielle pour les autres produits de la catégorie "large cosmétique" ; que la cour d'appel a relevé que "les produits litigieux sont des cosméto-textiles, qui comprennent à l'intérieur du tissu différentes substances" ; qu'en retenant que "même si le support est inhabituel, il n'en demeure pas moins que ces produits sont bien des cosmétiques" et que "les clients n'achètent pas le produit pour le textile mais pour son effet, qui rentre dans le champ de la définition du cosmétique", sans rechercher, comme elle y était invitée, si les produits pour lesquels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justifiait d'un usage dans les cinq dernières années n'étaient pas limités à une sous-catégorie autonome constituée des seuls </w:t>
      </w:r>
      <w:r w:rsidRPr="00B66D8D">
        <w:rPr>
          <w:rFonts w:ascii="Times New Roman" w:eastAsia="Times New Roman" w:hAnsi="Times New Roman" w:cs="Times New Roman"/>
          <w:color w:val="000000"/>
          <w:kern w:val="0"/>
          <w:sz w:val="22"/>
          <w:szCs w:val="22"/>
          <w:shd w:val="clear" w:color="auto" w:fill="FFFFFF"/>
          <w:lang w:eastAsia="fr-FR"/>
          <w14:ligatures w14:val="none"/>
        </w:rPr>
        <w:t>produits "cosméto-textiles", et sans constater aucun usage pour les autres produits de la catégorie large "cosmétiques", la cour d'appel a privé sa décision de base légale au regard des articles L. 714-5 et L. 716-3 du code de la propriété intellectuelle. »</w:t>
      </w:r>
    </w:p>
    <w:p w14:paraId="06C7349A" w14:textId="77777777" w:rsidR="0086297A" w:rsidRDefault="0086297A"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p>
    <w:p w14:paraId="5D99A336" w14:textId="4462363A"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Réponse de la Cour </w:t>
      </w:r>
    </w:p>
    <w:p w14:paraId="49ED40FA"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Vu les articles L. 714-5 et L. 716-3 du code de la propriété intellectuelle :</w:t>
      </w:r>
    </w:p>
    <w:p w14:paraId="45006EDF" w14:textId="543C0510"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8. Aux termes du premier de ces textes, encourt la déchéance de ses droits le titulaire de la marque qui, sans justes motifs, n'en a pas fait un usage sérieux, pour les produits ou services pour lesquels la marque est enregistrée, pendant une période ininterrompue de cinq ans. Selon le second, lorsque la demande ne porte que sur une partie des produits ou des services pour lesquels la marque est enregistrée, la déchéance ne s'étend qu'aux produits ou aux services concernés.</w:t>
      </w:r>
      <w:r w:rsidRPr="00B66D8D">
        <w:rPr>
          <w:rFonts w:ascii="Times New Roman" w:eastAsia="Times New Roman" w:hAnsi="Times New Roman" w:cs="Times New Roman"/>
          <w:color w:val="000000"/>
          <w:kern w:val="0"/>
          <w:sz w:val="22"/>
          <w:szCs w:val="22"/>
          <w:lang w:eastAsia="fr-FR"/>
          <w14:ligatures w14:val="none"/>
        </w:rPr>
        <w:br/>
      </w:r>
      <w:r w:rsidRPr="00B66D8D">
        <w:rPr>
          <w:rFonts w:ascii="Times New Roman" w:eastAsia="Times New Roman" w:hAnsi="Times New Roman" w:cs="Times New Roman"/>
          <w:color w:val="000000"/>
          <w:kern w:val="0"/>
          <w:sz w:val="22"/>
          <w:szCs w:val="22"/>
          <w:shd w:val="clear" w:color="auto" w:fill="FFFFFF"/>
          <w:lang w:eastAsia="fr-FR"/>
          <w14:ligatures w14:val="none"/>
        </w:rPr>
        <w:t>9. Ces dispositions réalisent la transposition en droit interne des articles 19, paragraphe 1, et 21 de la directive (UE) 2015/2436 du 16 décembre 2015 rapprochant les législations des États membres sur les marques.</w:t>
      </w:r>
    </w:p>
    <w:p w14:paraId="278AA014"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10. Dans son arrêt du 22 octobre 2020, Ferrari, C-720/18 et C-721/18, la Cour de justice de l'Union européenne a interprété en ces termes la notion de « partie des produits ou services » figurant à l'article 13 de la directive 2008/95/CE du 22 octobre 2008 rapprochant les législations des États membres sur les marques, rédigé dans des termes identiques à ceux de l'article 21 de la directive (UE) 2015/2436 :</w:t>
      </w:r>
    </w:p>
    <w:p w14:paraId="71466D65"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37 S'agissant de la notion de "partie des produits ou services" visée à l'article 13 de la directive 2008/95, il y a lieu de relever que le consommateur désireux d'acquérir un produit ou un service relevant d'une catégorie de produits ou de services ayant été définie de façon particulièrement précise et circonscrite, mais à l'intérieur de laquelle il n'est pas possible d'opérer des divisions significatives, associera à une marque enregistrée pour cette catégorie de produits ou de services l'ensemble des produits ou des services appartenant à celle-ci, de telle sorte que cette marque remplira sa fonction </w:t>
      </w:r>
      <w:r w:rsidRPr="00B66D8D">
        <w:rPr>
          <w:rFonts w:ascii="Times New Roman" w:eastAsia="Times New Roman" w:hAnsi="Times New Roman" w:cs="Times New Roman"/>
          <w:color w:val="000000"/>
          <w:kern w:val="0"/>
          <w:sz w:val="22"/>
          <w:szCs w:val="22"/>
          <w:shd w:val="clear" w:color="auto" w:fill="FFFFFF"/>
          <w:lang w:eastAsia="fr-FR"/>
          <w14:ligatures w14:val="none"/>
        </w:rPr>
        <w:lastRenderedPageBreak/>
        <w:t>essentielle de garantir l'origine pour ces produits ou ces services. Dans ces circonstances, il est suffisant d'exiger du titulaire d'une telle marque d'apporter la preuve de l'usage sérieux de sa marque pour une partie des produits ou des services relevant de cette catégorie homogène (voir, par analogie, arrêt du 16 juillet 2020, ACTC/EUIPO, C-714/18 P, [...] point 42).</w:t>
      </w:r>
    </w:p>
    <w:p w14:paraId="2E7A3D75"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38 En revanche, en ce qui concerne des produits ou des services rassemblés au sein d'une catégorie large, susceptible d'être subdivisée en plusieurs sous-catégories autonomes, il est nécessaire d'exiger du titulaire d'une marque enregistrée pour cette catégorie de produits ou de services d'apporter la preuve de l'usage sérieux de sa marque pour chacune de ces sous-catégories autonomes, à défaut de quoi il sera susceptible d'être déchu de ses droits à la marque pour les sous-catégories autonomes pour lesquelles il n'a pas apporté une telle preuve (voir, par analogie, arrêt du 16 juillet 2020, ACTC/EUIPO, C-714/18 P, [...] point 43). »</w:t>
      </w:r>
    </w:p>
    <w:p w14:paraId="1E964F7D"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11. La Cour de justice a encore énoncé qu' « [e]n ce qui concerne le critère pertinent ou les critères pertinents à appliquer aux fins de l'identification d'une sous-catégorie cohérente de produits ou de services susceptible d'être envisagée de manière autonome, le critère de la finalité et de la destination des produits ou des services en cause constitue le critère essentiel aux fins de la définition d'une sous-catégorie autonome de produits » et qu' « [i]l importe, dès lors, d'apprécier de manière concrète, principalement au regard des produits ou des services pour lesquels le titulaire d'une marque a apporté la preuve de l'usage de sa marque, si ceux-ci constituent une sous-catégorie autonome par rapport aux produits et aux services relevant de la classe de produits ou de services concernée, de manière à mettre en relation les produits ou les services pour lesquels l'usage sérieux de la marque a été prouvé avec la catégorie des produits ou des services couverts par l'enregistrement de cette marque » (CJUE, arrêt Ferrari, précité, points 40 et 41).</w:t>
      </w:r>
    </w:p>
    <w:p w14:paraId="6729535F"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12. Pour dire que le titulaire de la marque a démontré son usage sérieux pour les « cosmétiques », l'arrêt retient que, même si le support est inhabituel, les produits cosméto-textiles et la brume sont bien des cosmétiques puisqu'ils ont un lien, directement ou indirectement, avec la peau. L'arrêt ajoute que les publicités et le marketing réalisés autour de la marque «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 placent les produits litigieux comme des textiles de soins permettant de mincir et que les clients n'achètent pas le produit pour le textile mais pour son effet, qui rentre dans le champ de la définition du cosmétique. L'arrêt en déduit que le directeur général de l'INPI a procédé à une exacte analyse des pièces produites par la titulaire de la marque pour constater l'usage sérieux de la marque pour désigner des « cosmétiques ».</w:t>
      </w:r>
    </w:p>
    <w:p w14:paraId="30857C2E" w14:textId="77777777"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13. En se déterminant ainsi, sans rechercher, comme elle y était invitée, si les produits cosméto-textiles et leurs recharges, destinés à procurer un effet amincissant par le port de vêtements, qui étaient les seuls pour lesquels la société </w:t>
      </w:r>
      <w:proofErr w:type="spellStart"/>
      <w:r w:rsidRPr="00B66D8D">
        <w:rPr>
          <w:rFonts w:ascii="Times New Roman" w:eastAsia="Times New Roman" w:hAnsi="Times New Roman" w:cs="Times New Roman"/>
          <w:color w:val="000000"/>
          <w:kern w:val="0"/>
          <w:sz w:val="22"/>
          <w:szCs w:val="22"/>
          <w:shd w:val="clear" w:color="auto" w:fill="FFFFFF"/>
          <w:lang w:eastAsia="fr-FR"/>
          <w14:ligatures w14:val="none"/>
        </w:rPr>
        <w:t>Skin'up</w:t>
      </w:r>
      <w:proofErr w:type="spellEnd"/>
      <w:r w:rsidRPr="00B66D8D">
        <w:rPr>
          <w:rFonts w:ascii="Times New Roman" w:eastAsia="Times New Roman" w:hAnsi="Times New Roman" w:cs="Times New Roman"/>
          <w:color w:val="000000"/>
          <w:kern w:val="0"/>
          <w:sz w:val="22"/>
          <w:szCs w:val="22"/>
          <w:shd w:val="clear" w:color="auto" w:fill="FFFFFF"/>
          <w:lang w:eastAsia="fr-FR"/>
          <w14:ligatures w14:val="none"/>
        </w:rPr>
        <w:t xml:space="preserve"> justifiait d'un usage de sa marque au cours des cinq dernières années, ne constituaient pas une sous-catégorie autonome au sein de la catégorie large des « cosmétiques », la cour d'appel n'a pas donné de base légale à sa décision.</w:t>
      </w:r>
    </w:p>
    <w:p w14:paraId="772737C1" w14:textId="77777777" w:rsidR="0086297A" w:rsidRDefault="0086297A" w:rsidP="00B66D8D">
      <w:pPr>
        <w:spacing w:line="276" w:lineRule="auto"/>
        <w:jc w:val="both"/>
        <w:rPr>
          <w:rFonts w:ascii="Times New Roman" w:eastAsia="Times New Roman" w:hAnsi="Times New Roman" w:cs="Times New Roman"/>
          <w:color w:val="000000"/>
          <w:kern w:val="0"/>
          <w:sz w:val="22"/>
          <w:szCs w:val="22"/>
          <w:shd w:val="clear" w:color="auto" w:fill="FFFFFF"/>
          <w:lang w:eastAsia="fr-FR"/>
          <w14:ligatures w14:val="none"/>
        </w:rPr>
      </w:pPr>
    </w:p>
    <w:p w14:paraId="4E7DC340" w14:textId="2339B025" w:rsid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PAR CES MOTIFS, et sans qu'il y ait lieu de statuer sur l'autre grief, la Cour :</w:t>
      </w:r>
    </w:p>
    <w:p w14:paraId="191D2739" w14:textId="49B8446B" w:rsidR="00B66D8D" w:rsidRPr="00B66D8D" w:rsidRDefault="00B66D8D" w:rsidP="00B66D8D">
      <w:pPr>
        <w:spacing w:line="276" w:lineRule="auto"/>
        <w:jc w:val="both"/>
        <w:rPr>
          <w:rFonts w:ascii="Times New Roman" w:eastAsia="Times New Roman" w:hAnsi="Times New Roman" w:cs="Times New Roman"/>
          <w:color w:val="000000"/>
          <w:kern w:val="0"/>
          <w:sz w:val="22"/>
          <w:szCs w:val="22"/>
          <w:lang w:eastAsia="fr-FR"/>
          <w14:ligatures w14:val="none"/>
        </w:rPr>
      </w:pPr>
      <w:r w:rsidRPr="00B66D8D">
        <w:rPr>
          <w:rFonts w:ascii="Times New Roman" w:eastAsia="Times New Roman" w:hAnsi="Times New Roman" w:cs="Times New Roman"/>
          <w:color w:val="000000"/>
          <w:kern w:val="0"/>
          <w:sz w:val="22"/>
          <w:szCs w:val="22"/>
          <w:shd w:val="clear" w:color="auto" w:fill="FFFFFF"/>
          <w:lang w:eastAsia="fr-FR"/>
          <w14:ligatures w14:val="none"/>
        </w:rPr>
        <w:t>CASSE ET ANNULE, sauf en ce qu'il rejette la demande aux fins d'écarter certaines pièces des débats, l'arrêt rendu le 30 août 2023, entre les parties, par la cour d'appel de Colmar ;</w:t>
      </w:r>
    </w:p>
    <w:p w14:paraId="34E551AC" w14:textId="77777777" w:rsidR="00303E06" w:rsidRPr="00B66D8D" w:rsidRDefault="00303E06" w:rsidP="00AF0862">
      <w:pPr>
        <w:spacing w:line="276" w:lineRule="auto"/>
        <w:jc w:val="both"/>
        <w:rPr>
          <w:rFonts w:ascii="Times New Roman" w:hAnsi="Times New Roman" w:cs="Times New Roman"/>
          <w:sz w:val="22"/>
          <w:szCs w:val="22"/>
        </w:rPr>
      </w:pPr>
    </w:p>
    <w:sectPr w:rsidR="00303E06" w:rsidRPr="00B66D8D" w:rsidSect="00B66D8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55BC" w14:textId="77777777" w:rsidR="002A4CBE" w:rsidRDefault="002A4CBE" w:rsidP="00AF0862">
      <w:r>
        <w:separator/>
      </w:r>
    </w:p>
  </w:endnote>
  <w:endnote w:type="continuationSeparator" w:id="0">
    <w:p w14:paraId="4C1BB815" w14:textId="77777777" w:rsidR="002A4CBE" w:rsidRDefault="002A4CBE" w:rsidP="00AF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47B0" w14:textId="0B5D92EE" w:rsidR="00AF0862" w:rsidRDefault="00AF0862" w:rsidP="00AF0862">
    <w:pPr>
      <w:pStyle w:val="Pieddepage"/>
      <w:jc w:val="center"/>
    </w:pPr>
    <w:r>
      <w:fldChar w:fldCharType="begin"/>
    </w:r>
    <w:r>
      <w:instrText xml:space="preserve"> INCLUDEPICTURE "/Users/theoleguillou/Library/Group Containers/UBF8T346G9.ms/WebArchiveCopyPasteTempFiles/com.microsoft.Word/ck8BQZyAjz4AAAAASUVORK5CYII=" \* MERGEFORMATINET </w:instrText>
    </w:r>
    <w:r>
      <w:fldChar w:fldCharType="separate"/>
    </w:r>
    <w:r w:rsidRPr="00AF0862">
      <w:rPr>
        <w:noProof/>
        <w:sz w:val="22"/>
        <w:szCs w:val="22"/>
      </w:rPr>
      <w:drawing>
        <wp:inline distT="0" distB="0" distL="0" distR="0" wp14:anchorId="15BC814B" wp14:editId="32CCFB9D">
          <wp:extent cx="611945" cy="214048"/>
          <wp:effectExtent l="0" t="0" r="0" b="1905"/>
          <wp:docPr id="178759722" name="Image 1" descr="Program per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7rvaKrgL5GikdUP1bHc8A0_19" descr="Program per se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30" cy="237094"/>
                  </a:xfrm>
                  <a:prstGeom prst="rect">
                    <a:avLst/>
                  </a:prstGeom>
                  <a:noFill/>
                  <a:ln>
                    <a:noFill/>
                  </a:ln>
                </pic:spPr>
              </pic:pic>
            </a:graphicData>
          </a:graphic>
        </wp:inline>
      </w:drawing>
    </w:r>
    <w:r>
      <w:fldChar w:fldCharType="end"/>
    </w:r>
  </w:p>
  <w:p w14:paraId="7EF8BF16" w14:textId="79B7546C" w:rsidR="00AF0862" w:rsidRPr="008E09D0" w:rsidRDefault="00AF0862" w:rsidP="00AF0862">
    <w:pPr>
      <w:pStyle w:val="Pieddepage"/>
      <w:jc w:val="center"/>
      <w:rPr>
        <w:sz w:val="16"/>
        <w:szCs w:val="16"/>
      </w:rPr>
    </w:pPr>
    <w:r w:rsidRPr="008E09D0">
      <w:rPr>
        <w:sz w:val="16"/>
        <w:szCs w:val="16"/>
      </w:rPr>
      <w:t xml:space="preserve">Cette création par </w:t>
    </w:r>
    <w:hyperlink r:id="rId2" w:history="1">
      <w:r w:rsidRPr="008E09D0">
        <w:rPr>
          <w:rStyle w:val="Lienhypertexte"/>
          <w:sz w:val="16"/>
          <w:szCs w:val="16"/>
        </w:rPr>
        <w:t>ID2MS-IREDIC</w:t>
      </w:r>
    </w:hyperlink>
    <w:r w:rsidRPr="008E09D0">
      <w:rPr>
        <w:sz w:val="16"/>
        <w:szCs w:val="16"/>
      </w:rPr>
      <w:t xml:space="preserve"> est mise à disposition selon les termes de la </w:t>
    </w:r>
    <w:hyperlink r:id="rId3" w:history="1">
      <w:r w:rsidRPr="008E09D0">
        <w:rPr>
          <w:rStyle w:val="Lienhypertexte"/>
          <w:sz w:val="16"/>
          <w:szCs w:val="16"/>
        </w:rPr>
        <w:t>licence Creative Commons Paternité - Pas d'Utilisation Commerciale - Pas de Modification 2.0 France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2959" w14:textId="77777777" w:rsidR="002A4CBE" w:rsidRDefault="002A4CBE" w:rsidP="00AF0862">
      <w:r>
        <w:separator/>
      </w:r>
    </w:p>
  </w:footnote>
  <w:footnote w:type="continuationSeparator" w:id="0">
    <w:p w14:paraId="2DAF41A9" w14:textId="77777777" w:rsidR="002A4CBE" w:rsidRDefault="002A4CBE" w:rsidP="00AF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1A16"/>
    <w:multiLevelType w:val="hybridMultilevel"/>
    <w:tmpl w:val="89C81D1E"/>
    <w:lvl w:ilvl="0" w:tplc="B58EA60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D076E4"/>
    <w:multiLevelType w:val="hybridMultilevel"/>
    <w:tmpl w:val="CDB407C2"/>
    <w:lvl w:ilvl="0" w:tplc="B41C2E3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7E0435"/>
    <w:multiLevelType w:val="hybridMultilevel"/>
    <w:tmpl w:val="2A86A9EC"/>
    <w:lvl w:ilvl="0" w:tplc="173255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4645BB"/>
    <w:multiLevelType w:val="hybridMultilevel"/>
    <w:tmpl w:val="C4A2EF48"/>
    <w:lvl w:ilvl="0" w:tplc="109477C2">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C42C66"/>
    <w:multiLevelType w:val="hybridMultilevel"/>
    <w:tmpl w:val="FE1076BE"/>
    <w:lvl w:ilvl="0" w:tplc="2A7C22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098024">
    <w:abstractNumId w:val="1"/>
  </w:num>
  <w:num w:numId="2" w16cid:durableId="407655047">
    <w:abstractNumId w:val="0"/>
  </w:num>
  <w:num w:numId="3" w16cid:durableId="882329611">
    <w:abstractNumId w:val="4"/>
  </w:num>
  <w:num w:numId="4" w16cid:durableId="2094625672">
    <w:abstractNumId w:val="2"/>
  </w:num>
  <w:num w:numId="5" w16cid:durableId="1292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DF"/>
    <w:rsid w:val="000011D3"/>
    <w:rsid w:val="000040F9"/>
    <w:rsid w:val="0000793E"/>
    <w:rsid w:val="000119D6"/>
    <w:rsid w:val="00055210"/>
    <w:rsid w:val="00057E3B"/>
    <w:rsid w:val="000A6716"/>
    <w:rsid w:val="000C7082"/>
    <w:rsid w:val="000F00D3"/>
    <w:rsid w:val="000F2C1B"/>
    <w:rsid w:val="00102D82"/>
    <w:rsid w:val="00147D0B"/>
    <w:rsid w:val="00193BFA"/>
    <w:rsid w:val="00194853"/>
    <w:rsid w:val="00197CD1"/>
    <w:rsid w:val="001A7D51"/>
    <w:rsid w:val="00223691"/>
    <w:rsid w:val="00282F73"/>
    <w:rsid w:val="002A4CBE"/>
    <w:rsid w:val="002B356A"/>
    <w:rsid w:val="00303E06"/>
    <w:rsid w:val="00306AA6"/>
    <w:rsid w:val="00317C6F"/>
    <w:rsid w:val="0034224D"/>
    <w:rsid w:val="00363575"/>
    <w:rsid w:val="0038531C"/>
    <w:rsid w:val="003A1DAA"/>
    <w:rsid w:val="003A497E"/>
    <w:rsid w:val="003D2E8B"/>
    <w:rsid w:val="003D3FDF"/>
    <w:rsid w:val="003E3546"/>
    <w:rsid w:val="0040650A"/>
    <w:rsid w:val="00411C12"/>
    <w:rsid w:val="00442E95"/>
    <w:rsid w:val="004A6C0D"/>
    <w:rsid w:val="004B64B1"/>
    <w:rsid w:val="004C7305"/>
    <w:rsid w:val="004D1CD0"/>
    <w:rsid w:val="004D4136"/>
    <w:rsid w:val="00556F4E"/>
    <w:rsid w:val="00557B58"/>
    <w:rsid w:val="00582A29"/>
    <w:rsid w:val="00582EAF"/>
    <w:rsid w:val="005863C0"/>
    <w:rsid w:val="006107BF"/>
    <w:rsid w:val="0063114A"/>
    <w:rsid w:val="00675BED"/>
    <w:rsid w:val="006F03B2"/>
    <w:rsid w:val="007021B8"/>
    <w:rsid w:val="00703FB0"/>
    <w:rsid w:val="007049E9"/>
    <w:rsid w:val="00704E65"/>
    <w:rsid w:val="0071171D"/>
    <w:rsid w:val="00723668"/>
    <w:rsid w:val="007A1608"/>
    <w:rsid w:val="007D127A"/>
    <w:rsid w:val="007D25C1"/>
    <w:rsid w:val="007D42F7"/>
    <w:rsid w:val="007D71C9"/>
    <w:rsid w:val="007E464B"/>
    <w:rsid w:val="00816461"/>
    <w:rsid w:val="008441DF"/>
    <w:rsid w:val="00854F11"/>
    <w:rsid w:val="0086297A"/>
    <w:rsid w:val="008720F4"/>
    <w:rsid w:val="008962D9"/>
    <w:rsid w:val="008970ED"/>
    <w:rsid w:val="008A64E4"/>
    <w:rsid w:val="008E09D0"/>
    <w:rsid w:val="008E4CD9"/>
    <w:rsid w:val="00944A5C"/>
    <w:rsid w:val="00957EA4"/>
    <w:rsid w:val="00971C11"/>
    <w:rsid w:val="00980C02"/>
    <w:rsid w:val="009B15CD"/>
    <w:rsid w:val="009E61F2"/>
    <w:rsid w:val="00A44946"/>
    <w:rsid w:val="00A51819"/>
    <w:rsid w:val="00A727B3"/>
    <w:rsid w:val="00A76CB6"/>
    <w:rsid w:val="00AE33B3"/>
    <w:rsid w:val="00AF0862"/>
    <w:rsid w:val="00AF220C"/>
    <w:rsid w:val="00B65BB9"/>
    <w:rsid w:val="00B66D8D"/>
    <w:rsid w:val="00BC30D2"/>
    <w:rsid w:val="00C077CE"/>
    <w:rsid w:val="00C87496"/>
    <w:rsid w:val="00CB03F8"/>
    <w:rsid w:val="00CB0894"/>
    <w:rsid w:val="00CE1B29"/>
    <w:rsid w:val="00CF49C0"/>
    <w:rsid w:val="00D01974"/>
    <w:rsid w:val="00D22F4E"/>
    <w:rsid w:val="00D31CED"/>
    <w:rsid w:val="00DC0ED3"/>
    <w:rsid w:val="00DD3A4E"/>
    <w:rsid w:val="00E45F93"/>
    <w:rsid w:val="00E61CF8"/>
    <w:rsid w:val="00E65038"/>
    <w:rsid w:val="00E801C0"/>
    <w:rsid w:val="00E830B3"/>
    <w:rsid w:val="00EA3AF3"/>
    <w:rsid w:val="00EF0007"/>
    <w:rsid w:val="00F120FF"/>
    <w:rsid w:val="00F26CE8"/>
    <w:rsid w:val="00F56E08"/>
    <w:rsid w:val="00F62EA3"/>
    <w:rsid w:val="00F93BBF"/>
    <w:rsid w:val="00FB4DFA"/>
    <w:rsid w:val="00FC4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C6BB"/>
  <w15:chartTrackingRefBased/>
  <w15:docId w15:val="{07424AB0-77D6-5041-A519-711B3025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3F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3F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3F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3FD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3FD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3FD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3FD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3F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3F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3F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3F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3F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3F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3F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3F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3FDF"/>
    <w:rPr>
      <w:rFonts w:eastAsiaTheme="majorEastAsia" w:cstheme="majorBidi"/>
      <w:color w:val="272727" w:themeColor="text1" w:themeTint="D8"/>
    </w:rPr>
  </w:style>
  <w:style w:type="paragraph" w:styleId="Titre">
    <w:name w:val="Title"/>
    <w:basedOn w:val="Normal"/>
    <w:next w:val="Normal"/>
    <w:link w:val="TitreCar"/>
    <w:uiPriority w:val="10"/>
    <w:qFormat/>
    <w:rsid w:val="003D3FD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3F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3FD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3F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3FD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D3FDF"/>
    <w:rPr>
      <w:i/>
      <w:iCs/>
      <w:color w:val="404040" w:themeColor="text1" w:themeTint="BF"/>
    </w:rPr>
  </w:style>
  <w:style w:type="paragraph" w:styleId="Paragraphedeliste">
    <w:name w:val="List Paragraph"/>
    <w:basedOn w:val="Normal"/>
    <w:uiPriority w:val="34"/>
    <w:qFormat/>
    <w:rsid w:val="003D3FDF"/>
    <w:pPr>
      <w:ind w:left="720"/>
      <w:contextualSpacing/>
    </w:pPr>
  </w:style>
  <w:style w:type="character" w:styleId="Accentuationintense">
    <w:name w:val="Intense Emphasis"/>
    <w:basedOn w:val="Policepardfaut"/>
    <w:uiPriority w:val="21"/>
    <w:qFormat/>
    <w:rsid w:val="003D3FDF"/>
    <w:rPr>
      <w:i/>
      <w:iCs/>
      <w:color w:val="0F4761" w:themeColor="accent1" w:themeShade="BF"/>
    </w:rPr>
  </w:style>
  <w:style w:type="paragraph" w:styleId="Citationintense">
    <w:name w:val="Intense Quote"/>
    <w:basedOn w:val="Normal"/>
    <w:next w:val="Normal"/>
    <w:link w:val="CitationintenseCar"/>
    <w:uiPriority w:val="30"/>
    <w:qFormat/>
    <w:rsid w:val="003D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3FDF"/>
    <w:rPr>
      <w:i/>
      <w:iCs/>
      <w:color w:val="0F4761" w:themeColor="accent1" w:themeShade="BF"/>
    </w:rPr>
  </w:style>
  <w:style w:type="character" w:styleId="Rfrenceintense">
    <w:name w:val="Intense Reference"/>
    <w:basedOn w:val="Policepardfaut"/>
    <w:uiPriority w:val="32"/>
    <w:qFormat/>
    <w:rsid w:val="003D3FDF"/>
    <w:rPr>
      <w:b/>
      <w:bCs/>
      <w:smallCaps/>
      <w:color w:val="0F4761" w:themeColor="accent1" w:themeShade="BF"/>
      <w:spacing w:val="5"/>
    </w:rPr>
  </w:style>
  <w:style w:type="table" w:styleId="Grilledutableau">
    <w:name w:val="Table Grid"/>
    <w:basedOn w:val="TableauNormal"/>
    <w:uiPriority w:val="39"/>
    <w:rsid w:val="007A1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862"/>
    <w:pPr>
      <w:tabs>
        <w:tab w:val="center" w:pos="4536"/>
        <w:tab w:val="right" w:pos="9072"/>
      </w:tabs>
    </w:pPr>
  </w:style>
  <w:style w:type="character" w:customStyle="1" w:styleId="En-tteCar">
    <w:name w:val="En-tête Car"/>
    <w:basedOn w:val="Policepardfaut"/>
    <w:link w:val="En-tte"/>
    <w:uiPriority w:val="99"/>
    <w:rsid w:val="00AF0862"/>
  </w:style>
  <w:style w:type="paragraph" w:styleId="Pieddepage">
    <w:name w:val="footer"/>
    <w:basedOn w:val="Normal"/>
    <w:link w:val="PieddepageCar"/>
    <w:uiPriority w:val="99"/>
    <w:unhideWhenUsed/>
    <w:rsid w:val="00AF0862"/>
    <w:pPr>
      <w:tabs>
        <w:tab w:val="center" w:pos="4536"/>
        <w:tab w:val="right" w:pos="9072"/>
      </w:tabs>
    </w:pPr>
  </w:style>
  <w:style w:type="character" w:customStyle="1" w:styleId="PieddepageCar">
    <w:name w:val="Pied de page Car"/>
    <w:basedOn w:val="Policepardfaut"/>
    <w:link w:val="Pieddepage"/>
    <w:uiPriority w:val="99"/>
    <w:rsid w:val="00AF0862"/>
  </w:style>
  <w:style w:type="character" w:styleId="Lienhypertexte">
    <w:name w:val="Hyperlink"/>
    <w:basedOn w:val="Policepardfaut"/>
    <w:uiPriority w:val="99"/>
    <w:unhideWhenUsed/>
    <w:rsid w:val="00AF0862"/>
    <w:rPr>
      <w:color w:val="467886" w:themeColor="hyperlink"/>
      <w:u w:val="single"/>
    </w:rPr>
  </w:style>
  <w:style w:type="character" w:styleId="Mentionnonrsolue">
    <w:name w:val="Unresolved Mention"/>
    <w:basedOn w:val="Policepardfaut"/>
    <w:uiPriority w:val="99"/>
    <w:semiHidden/>
    <w:unhideWhenUsed/>
    <w:rsid w:val="00AF0862"/>
    <w:rPr>
      <w:color w:val="605E5C"/>
      <w:shd w:val="clear" w:color="auto" w:fill="E1DFDD"/>
    </w:rPr>
  </w:style>
  <w:style w:type="character" w:customStyle="1" w:styleId="apple-converted-space">
    <w:name w:val="apple-converted-space"/>
    <w:basedOn w:val="Policepardfaut"/>
    <w:rsid w:val="00B6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nd/2.0/fr/" TargetMode="External"/><Relationship Id="rId2" Type="http://schemas.openxmlformats.org/officeDocument/2006/relationships/hyperlink" Target="https://iredic.fr/linstitut/"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6</Pages>
  <Words>3517</Words>
  <Characters>18362</Characters>
  <Application>Microsoft Office Word</Application>
  <DocSecurity>0</DocSecurity>
  <Lines>494</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le guillou</dc:creator>
  <cp:keywords/>
  <dc:description/>
  <cp:lastModifiedBy>theo le guillou</cp:lastModifiedBy>
  <cp:revision>20</cp:revision>
  <dcterms:created xsi:type="dcterms:W3CDTF">2025-10-01T14:53:00Z</dcterms:created>
  <dcterms:modified xsi:type="dcterms:W3CDTF">2026-01-06T17:47:00Z</dcterms:modified>
</cp:coreProperties>
</file>