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CB0" w14:textId="2D8C4672" w:rsidR="00297506" w:rsidRPr="00297506" w:rsidRDefault="00297506" w:rsidP="00297506">
      <w:pPr>
        <w:spacing w:after="0" w:line="271" w:lineRule="auto"/>
        <w:jc w:val="center"/>
        <w:rPr>
          <w:rFonts w:ascii="Calibri" w:hAnsi="Calibri" w:cs="Calibri"/>
          <w:b/>
          <w:bCs/>
        </w:rPr>
      </w:pPr>
      <w:r w:rsidRPr="00297506">
        <w:rPr>
          <w:rFonts w:ascii="Calibri" w:hAnsi="Calibri" w:cs="Calibri"/>
          <w:b/>
          <w:bCs/>
        </w:rPr>
        <w:t>Cour de cassation, chambre commerciale, financière et économique – 7 janvier 2026, n° 23-22.723</w:t>
      </w:r>
    </w:p>
    <w:p w14:paraId="66A46DB6" w14:textId="77777777" w:rsidR="00297506" w:rsidRPr="00297506" w:rsidRDefault="00297506" w:rsidP="00297506">
      <w:pPr>
        <w:spacing w:after="0" w:line="271" w:lineRule="auto"/>
        <w:rPr>
          <w:rFonts w:ascii="Calibri" w:hAnsi="Calibri" w:cs="Calibri"/>
        </w:rPr>
      </w:pPr>
    </w:p>
    <w:p w14:paraId="1C5B0BE3" w14:textId="5B9FDA47" w:rsidR="00297506" w:rsidRPr="00297506" w:rsidRDefault="00297506" w:rsidP="00297506">
      <w:pPr>
        <w:spacing w:after="0" w:line="271" w:lineRule="auto"/>
        <w:rPr>
          <w:rFonts w:ascii="Calibri" w:hAnsi="Calibri" w:cs="Calibri"/>
        </w:rPr>
      </w:pPr>
      <w:r w:rsidRPr="00297506">
        <w:rPr>
          <w:rFonts w:ascii="Calibri" w:hAnsi="Calibri" w:cs="Calibri"/>
          <w:b/>
          <w:bCs/>
        </w:rPr>
        <w:t xml:space="preserve">MOTS CLEFS : </w:t>
      </w:r>
      <w:r w:rsidR="00825362">
        <w:rPr>
          <w:rFonts w:ascii="Calibri" w:hAnsi="Calibri" w:cs="Calibri"/>
          <w:b/>
          <w:bCs/>
        </w:rPr>
        <w:t>Hébergeur</w:t>
      </w:r>
      <w:r w:rsidRPr="00297506">
        <w:rPr>
          <w:rFonts w:ascii="Calibri" w:hAnsi="Calibri" w:cs="Calibri"/>
          <w:b/>
          <w:bCs/>
        </w:rPr>
        <w:t xml:space="preserve"> – </w:t>
      </w:r>
      <w:r w:rsidR="00825362">
        <w:rPr>
          <w:rFonts w:ascii="Calibri" w:hAnsi="Calibri" w:cs="Calibri"/>
          <w:b/>
          <w:bCs/>
        </w:rPr>
        <w:t>Editeur</w:t>
      </w:r>
      <w:r w:rsidRPr="00297506">
        <w:rPr>
          <w:rFonts w:ascii="Calibri" w:hAnsi="Calibri" w:cs="Calibri"/>
          <w:b/>
          <w:bCs/>
        </w:rPr>
        <w:t xml:space="preserve"> – </w:t>
      </w:r>
      <w:r w:rsidR="00825362">
        <w:rPr>
          <w:rFonts w:ascii="Calibri" w:hAnsi="Calibri" w:cs="Calibri"/>
          <w:b/>
          <w:bCs/>
        </w:rPr>
        <w:t>Airbnb</w:t>
      </w:r>
      <w:r w:rsidRPr="00297506">
        <w:rPr>
          <w:rFonts w:ascii="Calibri" w:hAnsi="Calibri" w:cs="Calibri"/>
          <w:b/>
          <w:bCs/>
        </w:rPr>
        <w:t xml:space="preserve"> – </w:t>
      </w:r>
      <w:r w:rsidR="00825362">
        <w:rPr>
          <w:rFonts w:ascii="Calibri" w:hAnsi="Calibri" w:cs="Calibri"/>
          <w:b/>
          <w:bCs/>
        </w:rPr>
        <w:t>LCEN</w:t>
      </w:r>
      <w:r w:rsidRPr="00297506">
        <w:rPr>
          <w:rFonts w:ascii="Calibri" w:hAnsi="Calibri" w:cs="Calibri"/>
          <w:b/>
          <w:bCs/>
        </w:rPr>
        <w:t xml:space="preserve"> – </w:t>
      </w:r>
      <w:r w:rsidR="00825362">
        <w:rPr>
          <w:rFonts w:ascii="Calibri" w:hAnsi="Calibri" w:cs="Calibri"/>
          <w:b/>
          <w:bCs/>
        </w:rPr>
        <w:t>rôle actif</w:t>
      </w:r>
      <w:r w:rsidRPr="00297506">
        <w:rPr>
          <w:rFonts w:ascii="Calibri" w:hAnsi="Calibri" w:cs="Calibri"/>
          <w:b/>
          <w:bCs/>
        </w:rPr>
        <w:t xml:space="preserve"> – </w:t>
      </w:r>
      <w:r w:rsidR="00825362">
        <w:rPr>
          <w:rFonts w:ascii="Calibri" w:hAnsi="Calibri" w:cs="Calibri"/>
          <w:b/>
          <w:bCs/>
        </w:rPr>
        <w:t>responsabilité des plateformes</w:t>
      </w:r>
      <w:r w:rsidRPr="00297506">
        <w:rPr>
          <w:rFonts w:ascii="Calibri" w:hAnsi="Calibri" w:cs="Calibri"/>
          <w:b/>
          <w:bCs/>
        </w:rPr>
        <w:t xml:space="preserve"> </w:t>
      </w:r>
    </w:p>
    <w:p w14:paraId="6BE3D609" w14:textId="77777777" w:rsidR="00297506" w:rsidRPr="00297506" w:rsidRDefault="00297506" w:rsidP="00297506">
      <w:pPr>
        <w:spacing w:after="0" w:line="271" w:lineRule="auto"/>
        <w:rPr>
          <w:rFonts w:ascii="Calibri" w:hAnsi="Calibri" w:cs="Calibri"/>
        </w:rPr>
      </w:pPr>
    </w:p>
    <w:p w14:paraId="3086CB9A" w14:textId="3F194AEF" w:rsidR="00B46A3F" w:rsidRPr="00297506" w:rsidRDefault="00297506" w:rsidP="00297506">
      <w:pPr>
        <w:spacing w:after="0" w:line="271" w:lineRule="auto"/>
        <w:jc w:val="both"/>
        <w:rPr>
          <w:rFonts w:ascii="Calibri" w:hAnsi="Calibri" w:cs="Calibri"/>
          <w:i/>
          <w:iCs/>
        </w:rPr>
      </w:pPr>
      <w:r w:rsidRPr="00297506">
        <w:rPr>
          <w:rFonts w:ascii="Calibri" w:hAnsi="Calibri" w:cs="Calibri"/>
          <w:i/>
          <w:iCs/>
        </w:rPr>
        <w:t>Par cet arrêt, la Cour de cassation précise les conditions dans lesquelles une plateforme numérique peut se prévaloir du régime de responsabilité limitée des hébergeurs prévu par la loi pour la confiance dans l’économie numérique. Saisie d’un litige relatif à la sous-location illicite d’un logement via la plateforme Airbnb, la Cour reproche aux juges du fond de ne pas avoir suffisamment recherché si, au regard des mécanismes d’encadrement, de promotion et de hiérarchisation des offres, la plateforme ne jouait pas un rôle actif susceptible de lui conférer la qualité d’éditeur. L’arrêt s’inscrit dans la continuité de la jurisprudence européenne relative au rôle actif des prestataires intermédiaires et invite à une appréciation concrète et exigeante de leur fonctionnement.</w:t>
      </w:r>
    </w:p>
    <w:p w14:paraId="48F85DE1" w14:textId="77777777" w:rsidR="00297506" w:rsidRDefault="00297506" w:rsidP="00297506">
      <w:pPr>
        <w:spacing w:after="0" w:line="271" w:lineRule="auto"/>
        <w:rPr>
          <w:rFonts w:ascii="Calibri" w:hAnsi="Calibri" w:cs="Calibri"/>
        </w:rPr>
      </w:pPr>
    </w:p>
    <w:p w14:paraId="363B0352" w14:textId="77777777" w:rsidR="00297506" w:rsidRPr="00297506" w:rsidRDefault="00297506" w:rsidP="00297506">
      <w:pPr>
        <w:spacing w:after="0" w:line="271" w:lineRule="auto"/>
        <w:rPr>
          <w:rFonts w:ascii="Calibri" w:hAnsi="Calibri" w:cs="Calibri"/>
        </w:rPr>
      </w:pPr>
    </w:p>
    <w:tbl>
      <w:tblPr>
        <w:tblW w:w="922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0"/>
      </w:tblGrid>
      <w:tr w:rsidR="00297506" w14:paraId="3789A2EE" w14:textId="77777777" w:rsidTr="00297506">
        <w:tblPrEx>
          <w:tblCellMar>
            <w:top w:w="0" w:type="dxa"/>
            <w:bottom w:w="0" w:type="dxa"/>
          </w:tblCellMar>
        </w:tblPrEx>
        <w:trPr>
          <w:trHeight w:val="4310"/>
        </w:trPr>
        <w:tc>
          <w:tcPr>
            <w:tcW w:w="9220" w:type="dxa"/>
          </w:tcPr>
          <w:p w14:paraId="363C5097" w14:textId="77777777" w:rsidR="00297506" w:rsidRPr="00297506" w:rsidRDefault="00297506" w:rsidP="00297506">
            <w:pPr>
              <w:spacing w:after="0" w:line="271" w:lineRule="auto"/>
              <w:rPr>
                <w:rFonts w:ascii="Calibri" w:hAnsi="Calibri" w:cs="Calibri"/>
              </w:rPr>
            </w:pPr>
            <w:r>
              <w:rPr>
                <w:rFonts w:ascii="Calibri" w:hAnsi="Calibri" w:cs="Calibri"/>
                <w:b/>
                <w:bCs/>
              </w:rPr>
              <w:t>FAITS</w:t>
            </w:r>
            <w:r>
              <w:rPr>
                <w:rFonts w:ascii="Calibri" w:hAnsi="Calibri" w:cs="Calibri"/>
              </w:rPr>
              <w:t xml:space="preserve"> : </w:t>
            </w:r>
            <w:r w:rsidRPr="00297506">
              <w:rPr>
                <w:rFonts w:ascii="Calibri" w:hAnsi="Calibri" w:cs="Calibri"/>
              </w:rPr>
              <w:t>Une locataire d’un logement social, dont le bail interdisait toute sous-location, a proposé ce logement à la location sur la plateforme Airbnb sans l’accord du bailleur</w:t>
            </w:r>
            <w:r>
              <w:rPr>
                <w:rFonts w:ascii="Calibri" w:hAnsi="Calibri" w:cs="Calibri"/>
              </w:rPr>
              <w:t>.</w:t>
            </w:r>
          </w:p>
          <w:p w14:paraId="42EC7950" w14:textId="77777777" w:rsidR="00297506" w:rsidRDefault="00297506" w:rsidP="00297506">
            <w:pPr>
              <w:spacing w:after="0" w:line="271" w:lineRule="auto"/>
              <w:rPr>
                <w:rFonts w:ascii="Calibri" w:hAnsi="Calibri" w:cs="Calibri"/>
              </w:rPr>
            </w:pPr>
          </w:p>
          <w:p w14:paraId="04F6BE58" w14:textId="77777777" w:rsidR="00297506" w:rsidRPr="00297506" w:rsidRDefault="00297506" w:rsidP="00297506">
            <w:pPr>
              <w:spacing w:after="0" w:line="271" w:lineRule="auto"/>
              <w:rPr>
                <w:rFonts w:ascii="Calibri" w:hAnsi="Calibri" w:cs="Calibri"/>
              </w:rPr>
            </w:pPr>
            <w:r>
              <w:rPr>
                <w:rFonts w:ascii="Calibri" w:hAnsi="Calibri" w:cs="Calibri"/>
                <w:b/>
                <w:bCs/>
              </w:rPr>
              <w:t>PROC</w:t>
            </w:r>
            <w:r w:rsidRPr="00D70400">
              <w:rPr>
                <w:rFonts w:ascii="Calibri" w:hAnsi="Calibri" w:cs="Calibri"/>
                <w:b/>
                <w:bCs/>
              </w:rPr>
              <w:t>É</w:t>
            </w:r>
            <w:r>
              <w:rPr>
                <w:rFonts w:ascii="Calibri" w:hAnsi="Calibri" w:cs="Calibri"/>
                <w:b/>
                <w:bCs/>
              </w:rPr>
              <w:t>DURE</w:t>
            </w:r>
            <w:r>
              <w:rPr>
                <w:rFonts w:ascii="Calibri" w:hAnsi="Calibri" w:cs="Calibri"/>
              </w:rPr>
              <w:t xml:space="preserve"> : </w:t>
            </w:r>
            <w:r w:rsidRPr="00297506">
              <w:rPr>
                <w:rFonts w:ascii="Calibri" w:hAnsi="Calibri" w:cs="Calibri"/>
              </w:rPr>
              <w:t xml:space="preserve">Le bailleur a assigné la locataire et les sociétés Airbnb afin d’obtenir le versement des fruits tirés de la sous-location illicite. La cour d’appel a rejeté les demandes dirigées contre Airbnb, </w:t>
            </w:r>
            <w:r>
              <w:rPr>
                <w:rFonts w:ascii="Calibri" w:hAnsi="Calibri" w:cs="Calibri"/>
              </w:rPr>
              <w:t xml:space="preserve">qu’elle a </w:t>
            </w:r>
            <w:r w:rsidRPr="00297506">
              <w:rPr>
                <w:rFonts w:ascii="Calibri" w:hAnsi="Calibri" w:cs="Calibri"/>
              </w:rPr>
              <w:t>considéré comme hébergeur.</w:t>
            </w:r>
          </w:p>
          <w:p w14:paraId="08F0E600" w14:textId="77777777" w:rsidR="00297506" w:rsidRDefault="00297506" w:rsidP="00297506">
            <w:pPr>
              <w:spacing w:after="0" w:line="271" w:lineRule="auto"/>
              <w:rPr>
                <w:rFonts w:ascii="Calibri" w:hAnsi="Calibri" w:cs="Calibri"/>
              </w:rPr>
            </w:pPr>
          </w:p>
          <w:p w14:paraId="1CB4520A" w14:textId="77777777" w:rsidR="00297506" w:rsidRPr="00297506" w:rsidRDefault="00297506" w:rsidP="00297506">
            <w:pPr>
              <w:spacing w:after="0" w:line="271" w:lineRule="auto"/>
              <w:rPr>
                <w:rFonts w:ascii="Calibri" w:hAnsi="Calibri" w:cs="Calibri"/>
              </w:rPr>
            </w:pPr>
            <w:r>
              <w:rPr>
                <w:rFonts w:ascii="Calibri" w:hAnsi="Calibri" w:cs="Calibri"/>
                <w:b/>
                <w:bCs/>
              </w:rPr>
              <w:t>PROBL</w:t>
            </w:r>
            <w:r w:rsidRPr="00D70400">
              <w:rPr>
                <w:rFonts w:ascii="Calibri" w:hAnsi="Calibri" w:cs="Calibri"/>
                <w:b/>
                <w:bCs/>
              </w:rPr>
              <w:t>È</w:t>
            </w:r>
            <w:r>
              <w:rPr>
                <w:rFonts w:ascii="Calibri" w:hAnsi="Calibri" w:cs="Calibri"/>
                <w:b/>
                <w:bCs/>
              </w:rPr>
              <w:t>ME DE DROIT</w:t>
            </w:r>
            <w:r>
              <w:rPr>
                <w:rFonts w:ascii="Calibri" w:hAnsi="Calibri" w:cs="Calibri"/>
              </w:rPr>
              <w:t xml:space="preserve"> : </w:t>
            </w:r>
            <w:r w:rsidRPr="00297506">
              <w:rPr>
                <w:rFonts w:ascii="Calibri" w:hAnsi="Calibri" w:cs="Calibri"/>
              </w:rPr>
              <w:t>Une plateforme en ligne proposant des services d’intermédiation peut-elle être qualifiée d’hébergeur lorsqu’elle impose des règles contraignantes aux utilisateurs et met en œuvre des mécanismes de promotion et de hiérarchisation des offres ?</w:t>
            </w:r>
          </w:p>
          <w:p w14:paraId="4CBBFA69" w14:textId="77777777" w:rsidR="00297506" w:rsidRDefault="00297506" w:rsidP="00297506">
            <w:pPr>
              <w:spacing w:after="0" w:line="271" w:lineRule="auto"/>
              <w:rPr>
                <w:rFonts w:ascii="Calibri" w:hAnsi="Calibri" w:cs="Calibri"/>
              </w:rPr>
            </w:pPr>
          </w:p>
          <w:p w14:paraId="051CA8F0" w14:textId="41490FCB" w:rsidR="00297506" w:rsidRDefault="00297506" w:rsidP="00297506">
            <w:pPr>
              <w:spacing w:after="0" w:line="271" w:lineRule="auto"/>
              <w:rPr>
                <w:rFonts w:ascii="Calibri" w:hAnsi="Calibri" w:cs="Calibri"/>
                <w:b/>
                <w:bCs/>
              </w:rPr>
            </w:pPr>
            <w:r>
              <w:rPr>
                <w:rFonts w:ascii="Calibri" w:hAnsi="Calibri" w:cs="Calibri"/>
                <w:b/>
                <w:bCs/>
              </w:rPr>
              <w:t>SOLUTION</w:t>
            </w:r>
            <w:r>
              <w:rPr>
                <w:rFonts w:ascii="Calibri" w:hAnsi="Calibri" w:cs="Calibri"/>
              </w:rPr>
              <w:t xml:space="preserve"> : </w:t>
            </w:r>
            <w:r w:rsidRPr="00297506">
              <w:rPr>
                <w:rFonts w:ascii="Calibri" w:hAnsi="Calibri" w:cs="Calibri"/>
              </w:rPr>
              <w:t>La Cour de cassation casse l’arrêt pour défaut de base légale, reprochant aux juges du fond de ne pas avoir recherché si les modalités de fonctionnement de la plateforme révélaient un rôle actif excluant la qualification d’hébergeur.</w:t>
            </w:r>
          </w:p>
        </w:tc>
      </w:tr>
    </w:tbl>
    <w:p w14:paraId="1A2B77AB" w14:textId="77777777" w:rsidR="00297506" w:rsidRDefault="00297506" w:rsidP="00297506">
      <w:pPr>
        <w:spacing w:after="0" w:line="271" w:lineRule="auto"/>
        <w:rPr>
          <w:rFonts w:ascii="Calibri" w:hAnsi="Calibri" w:cs="Calibri"/>
        </w:rPr>
      </w:pPr>
    </w:p>
    <w:p w14:paraId="6BC8AD26" w14:textId="77777777" w:rsidR="00297506" w:rsidRDefault="00297506" w:rsidP="00297506">
      <w:pPr>
        <w:spacing w:after="0" w:line="271" w:lineRule="auto"/>
        <w:rPr>
          <w:rFonts w:ascii="Calibri" w:hAnsi="Calibri" w:cs="Calibri"/>
        </w:rPr>
      </w:pPr>
    </w:p>
    <w:p w14:paraId="0FCC5D3D" w14:textId="77777777" w:rsidR="00297506" w:rsidRDefault="00297506" w:rsidP="00297506">
      <w:pPr>
        <w:spacing w:after="0" w:line="271" w:lineRule="auto"/>
        <w:rPr>
          <w:rFonts w:ascii="Calibri" w:hAnsi="Calibri" w:cs="Calibri"/>
        </w:rPr>
      </w:pPr>
    </w:p>
    <w:p w14:paraId="593694BE" w14:textId="77777777" w:rsidR="00297506" w:rsidRDefault="00297506" w:rsidP="00297506">
      <w:pPr>
        <w:spacing w:after="0" w:line="271" w:lineRule="auto"/>
        <w:rPr>
          <w:rFonts w:ascii="Calibri" w:hAnsi="Calibri" w:cs="Calibri"/>
        </w:rPr>
      </w:pPr>
    </w:p>
    <w:p w14:paraId="5F4CC484" w14:textId="77777777" w:rsidR="00297506" w:rsidRDefault="00297506" w:rsidP="00297506">
      <w:pPr>
        <w:spacing w:after="0" w:line="271" w:lineRule="auto"/>
        <w:rPr>
          <w:rFonts w:ascii="Calibri" w:hAnsi="Calibri" w:cs="Calibri"/>
        </w:rPr>
      </w:pPr>
    </w:p>
    <w:p w14:paraId="1011AD7D" w14:textId="77777777" w:rsidR="00297506" w:rsidRDefault="00297506" w:rsidP="00297506">
      <w:pPr>
        <w:spacing w:after="0" w:line="271" w:lineRule="auto"/>
        <w:rPr>
          <w:rFonts w:ascii="Calibri" w:hAnsi="Calibri" w:cs="Calibri"/>
        </w:rPr>
      </w:pPr>
    </w:p>
    <w:p w14:paraId="5F67AB8A" w14:textId="77777777" w:rsidR="00297506" w:rsidRDefault="00297506" w:rsidP="00297506">
      <w:pPr>
        <w:spacing w:after="0" w:line="271" w:lineRule="auto"/>
        <w:rPr>
          <w:rFonts w:ascii="Calibri" w:hAnsi="Calibri" w:cs="Calibri"/>
        </w:rPr>
      </w:pPr>
    </w:p>
    <w:p w14:paraId="77564CE5" w14:textId="77777777" w:rsidR="00297506" w:rsidRDefault="00297506" w:rsidP="00297506">
      <w:pPr>
        <w:spacing w:after="0" w:line="271" w:lineRule="auto"/>
        <w:rPr>
          <w:rFonts w:ascii="Calibri" w:hAnsi="Calibri" w:cs="Calibri"/>
        </w:rPr>
      </w:pPr>
    </w:p>
    <w:p w14:paraId="1A2DDBAF" w14:textId="77777777" w:rsidR="00297506" w:rsidRDefault="00297506" w:rsidP="00297506">
      <w:pPr>
        <w:spacing w:after="0" w:line="271" w:lineRule="auto"/>
        <w:rPr>
          <w:rFonts w:ascii="Calibri" w:hAnsi="Calibri" w:cs="Calibri"/>
        </w:rPr>
      </w:pPr>
    </w:p>
    <w:p w14:paraId="1118C1F8" w14:textId="77777777" w:rsidR="00297506" w:rsidRDefault="00297506" w:rsidP="00297506">
      <w:pPr>
        <w:spacing w:after="0" w:line="271" w:lineRule="auto"/>
        <w:rPr>
          <w:rFonts w:ascii="Calibri" w:hAnsi="Calibri" w:cs="Calibri"/>
        </w:rPr>
      </w:pPr>
    </w:p>
    <w:p w14:paraId="176D2885" w14:textId="77777777" w:rsidR="00297506" w:rsidRDefault="00297506" w:rsidP="00297506">
      <w:pPr>
        <w:spacing w:after="0" w:line="271" w:lineRule="auto"/>
        <w:rPr>
          <w:rFonts w:ascii="Calibri" w:hAnsi="Calibri" w:cs="Calibri"/>
        </w:rPr>
      </w:pPr>
    </w:p>
    <w:p w14:paraId="246F7CA8" w14:textId="77777777" w:rsidR="00297506" w:rsidRDefault="00297506" w:rsidP="00297506">
      <w:pPr>
        <w:spacing w:after="0" w:line="271" w:lineRule="auto"/>
        <w:rPr>
          <w:rFonts w:ascii="Calibri" w:hAnsi="Calibri" w:cs="Calibri"/>
        </w:rPr>
      </w:pPr>
    </w:p>
    <w:p w14:paraId="0ABD34B9" w14:textId="77777777" w:rsidR="00297506" w:rsidRDefault="00297506" w:rsidP="00297506">
      <w:pPr>
        <w:spacing w:after="0" w:line="271" w:lineRule="auto"/>
        <w:rPr>
          <w:rFonts w:ascii="Calibri" w:hAnsi="Calibri" w:cs="Calibri"/>
        </w:rPr>
      </w:pPr>
    </w:p>
    <w:p w14:paraId="626B7FC5" w14:textId="77777777" w:rsidR="00297506" w:rsidRDefault="00297506" w:rsidP="00297506">
      <w:pPr>
        <w:spacing w:after="0" w:line="271" w:lineRule="auto"/>
        <w:rPr>
          <w:rFonts w:ascii="Calibri" w:hAnsi="Calibri" w:cs="Calibri"/>
        </w:rPr>
      </w:pPr>
    </w:p>
    <w:p w14:paraId="08C91FC7" w14:textId="77777777" w:rsidR="00297506" w:rsidRDefault="00297506" w:rsidP="00297506">
      <w:pPr>
        <w:spacing w:after="0" w:line="271" w:lineRule="auto"/>
        <w:rPr>
          <w:rFonts w:ascii="Calibri" w:hAnsi="Calibri" w:cs="Calibri"/>
        </w:rPr>
      </w:pPr>
    </w:p>
    <w:p w14:paraId="0CA96941" w14:textId="77777777" w:rsidR="00825362" w:rsidRDefault="00825362" w:rsidP="00297506">
      <w:pPr>
        <w:spacing w:after="0" w:line="271" w:lineRule="auto"/>
        <w:rPr>
          <w:rFonts w:ascii="Calibri" w:hAnsi="Calibri" w:cs="Calibri"/>
        </w:rPr>
      </w:pPr>
    </w:p>
    <w:p w14:paraId="69527D9A" w14:textId="77777777" w:rsidR="00297506" w:rsidRDefault="00297506" w:rsidP="00297506">
      <w:pPr>
        <w:spacing w:after="0" w:line="271" w:lineRule="auto"/>
        <w:rPr>
          <w:rFonts w:ascii="Calibri" w:hAnsi="Calibri" w:cs="Calibri"/>
        </w:rPr>
      </w:pPr>
    </w:p>
    <w:p w14:paraId="158E078C" w14:textId="77777777" w:rsidR="00297506" w:rsidRDefault="00297506" w:rsidP="00297506">
      <w:pPr>
        <w:spacing w:after="0" w:line="271" w:lineRule="auto"/>
        <w:rPr>
          <w:rFonts w:ascii="Calibri" w:hAnsi="Calibri" w:cs="Calibri"/>
        </w:rPr>
      </w:pPr>
    </w:p>
    <w:p w14:paraId="123B1122" w14:textId="77777777" w:rsidR="00297506" w:rsidRPr="00D70400" w:rsidRDefault="00297506" w:rsidP="00297506">
      <w:pPr>
        <w:spacing w:after="0" w:line="271" w:lineRule="auto"/>
        <w:jc w:val="both"/>
        <w:rPr>
          <w:rFonts w:ascii="Calibri" w:hAnsi="Calibri" w:cs="Calibri"/>
          <w:b/>
          <w:bCs/>
        </w:rPr>
      </w:pPr>
      <w:r w:rsidRPr="00D70400">
        <w:rPr>
          <w:rFonts w:ascii="Calibri" w:hAnsi="Calibri" w:cs="Calibri"/>
          <w:b/>
          <w:bCs/>
        </w:rPr>
        <w:lastRenderedPageBreak/>
        <w:t>NOTE :</w:t>
      </w:r>
    </w:p>
    <w:p w14:paraId="7DB21E4D" w14:textId="77777777" w:rsidR="00297506" w:rsidRDefault="00297506" w:rsidP="00297506">
      <w:pPr>
        <w:spacing w:after="0" w:line="271" w:lineRule="auto"/>
        <w:rPr>
          <w:rFonts w:ascii="Calibri" w:hAnsi="Calibri" w:cs="Calibri"/>
        </w:rPr>
      </w:pPr>
    </w:p>
    <w:p w14:paraId="05D304E2" w14:textId="77777777" w:rsidR="00297506" w:rsidRDefault="00297506" w:rsidP="00297506">
      <w:pPr>
        <w:spacing w:after="0" w:line="271" w:lineRule="auto"/>
        <w:jc w:val="both"/>
        <w:rPr>
          <w:rFonts w:ascii="Calibri" w:hAnsi="Calibri" w:cs="Calibri"/>
        </w:rPr>
        <w:sectPr w:rsidR="00297506">
          <w:pgSz w:w="11906" w:h="16838"/>
          <w:pgMar w:top="1417" w:right="1417" w:bottom="1417" w:left="1417" w:header="708" w:footer="708" w:gutter="0"/>
          <w:cols w:space="708"/>
          <w:docGrid w:linePitch="360"/>
        </w:sectPr>
      </w:pPr>
    </w:p>
    <w:p w14:paraId="7A4DC214" w14:textId="5B7ABD4C" w:rsidR="00297506" w:rsidRDefault="00297506" w:rsidP="00297506">
      <w:pPr>
        <w:spacing w:after="0" w:line="271" w:lineRule="auto"/>
        <w:jc w:val="both"/>
        <w:rPr>
          <w:rFonts w:ascii="Calibri" w:hAnsi="Calibri" w:cs="Calibri"/>
        </w:rPr>
      </w:pPr>
      <w:r w:rsidRPr="00297506">
        <w:rPr>
          <w:rFonts w:ascii="Calibri" w:hAnsi="Calibri" w:cs="Calibri"/>
        </w:rPr>
        <w:t>Par cette décision, la Cour de cassation s’inscrit dans une jurisprudence constante issue tant du droit interne que du droit de l’Union européenne, selon laquelle la responsabilité des plateformes numériques dépend moins de leur qualification formelle que du rôle effectivement joué dans la diffusion des contenus. Si la loi pour la confiance dans l’économie numérique consacre un régime de responsabilité limitée au bénéfice des hébergeurs, cette protection demeure strictement conditionnée à l’exercice d’une activité neutre, purement technique et passive.</w:t>
      </w:r>
    </w:p>
    <w:p w14:paraId="15474DA7" w14:textId="77777777" w:rsidR="00297506" w:rsidRDefault="00297506" w:rsidP="00297506">
      <w:pPr>
        <w:spacing w:after="0" w:line="271" w:lineRule="auto"/>
        <w:jc w:val="both"/>
        <w:rPr>
          <w:rFonts w:ascii="Calibri" w:hAnsi="Calibri" w:cs="Calibri"/>
        </w:rPr>
      </w:pPr>
    </w:p>
    <w:p w14:paraId="74A0F81A" w14:textId="188B6298" w:rsidR="00297506" w:rsidRPr="00297506" w:rsidRDefault="00297506" w:rsidP="00297506">
      <w:pPr>
        <w:spacing w:after="0" w:line="271" w:lineRule="auto"/>
        <w:jc w:val="both"/>
        <w:rPr>
          <w:rFonts w:ascii="Calibri" w:hAnsi="Calibri" w:cs="Calibri"/>
          <w:b/>
          <w:bCs/>
        </w:rPr>
      </w:pPr>
      <w:r w:rsidRPr="00297506">
        <w:rPr>
          <w:rFonts w:ascii="Calibri" w:hAnsi="Calibri" w:cs="Calibri"/>
          <w:b/>
          <w:bCs/>
        </w:rPr>
        <w:t>Un contrôle renforcé de la qualification d’hébergeur à l’ère des plateformes numériques</w:t>
      </w:r>
    </w:p>
    <w:p w14:paraId="5F88CBAD" w14:textId="77777777" w:rsidR="00297506" w:rsidRDefault="00297506" w:rsidP="00297506">
      <w:pPr>
        <w:spacing w:after="0" w:line="271" w:lineRule="auto"/>
        <w:jc w:val="both"/>
        <w:rPr>
          <w:rFonts w:ascii="Calibri" w:hAnsi="Calibri" w:cs="Calibri"/>
        </w:rPr>
      </w:pPr>
    </w:p>
    <w:p w14:paraId="5C572E33" w14:textId="509E335A" w:rsidR="00297506" w:rsidRDefault="00297506" w:rsidP="00297506">
      <w:pPr>
        <w:spacing w:after="0" w:line="271" w:lineRule="auto"/>
        <w:jc w:val="both"/>
        <w:rPr>
          <w:rFonts w:ascii="Calibri" w:hAnsi="Calibri" w:cs="Calibri"/>
        </w:rPr>
      </w:pPr>
      <w:r w:rsidRPr="00297506">
        <w:rPr>
          <w:rFonts w:ascii="Calibri" w:hAnsi="Calibri" w:cs="Calibri"/>
        </w:rPr>
        <w:t>La Cour rappelle ainsi que la qualification d’hébergeur ne saurait être retenue de manière automatique dès lors que la plateforme ne rédige pas matériellement les annonces. L’analyse doit porter sur l’ensemble du fonctionnement du service, et notamment sur les règles contraignantes imposées aux utilisateurs, tant avant la publication des offres qu’au cours de l’exécution de la relation contractuelle. En exigeant un tel examen, la Cour de cassation invite à dépasser une approche formaliste pour privilégier une appréciation fonctionnelle du rôle réel des plateformes dans l’économie numérique.</w:t>
      </w:r>
    </w:p>
    <w:p w14:paraId="73447917" w14:textId="77777777" w:rsidR="00297506" w:rsidRDefault="00297506" w:rsidP="00297506">
      <w:pPr>
        <w:spacing w:after="0" w:line="271" w:lineRule="auto"/>
        <w:jc w:val="both"/>
        <w:rPr>
          <w:rFonts w:ascii="Calibri" w:hAnsi="Calibri" w:cs="Calibri"/>
        </w:rPr>
      </w:pPr>
    </w:p>
    <w:p w14:paraId="323197F6" w14:textId="79C4F7C8" w:rsidR="00297506" w:rsidRPr="00297506" w:rsidRDefault="00297506" w:rsidP="00297506">
      <w:pPr>
        <w:spacing w:after="0" w:line="271" w:lineRule="auto"/>
        <w:jc w:val="both"/>
        <w:rPr>
          <w:rFonts w:ascii="Calibri" w:hAnsi="Calibri" w:cs="Calibri"/>
          <w:b/>
          <w:bCs/>
        </w:rPr>
      </w:pPr>
      <w:r w:rsidRPr="00297506">
        <w:rPr>
          <w:rFonts w:ascii="Calibri" w:hAnsi="Calibri" w:cs="Calibri"/>
          <w:b/>
          <w:bCs/>
        </w:rPr>
        <w:t>La promotion et la hiérarchisation des offres comme indices d’un rôle actif</w:t>
      </w:r>
    </w:p>
    <w:p w14:paraId="549D981E" w14:textId="77777777" w:rsidR="00297506" w:rsidRDefault="00297506" w:rsidP="00297506">
      <w:pPr>
        <w:spacing w:after="0" w:line="271" w:lineRule="auto"/>
        <w:jc w:val="both"/>
        <w:rPr>
          <w:rFonts w:ascii="Calibri" w:hAnsi="Calibri" w:cs="Calibri"/>
        </w:rPr>
      </w:pPr>
    </w:p>
    <w:p w14:paraId="3485F3D1" w14:textId="3E303913" w:rsidR="00297506" w:rsidRDefault="00297506" w:rsidP="00297506">
      <w:pPr>
        <w:spacing w:after="0" w:line="271" w:lineRule="auto"/>
        <w:jc w:val="both"/>
        <w:rPr>
          <w:rFonts w:ascii="Calibri" w:hAnsi="Calibri" w:cs="Calibri"/>
        </w:rPr>
      </w:pPr>
      <w:r w:rsidRPr="00297506">
        <w:rPr>
          <w:rFonts w:ascii="Calibri" w:hAnsi="Calibri" w:cs="Calibri"/>
        </w:rPr>
        <w:t xml:space="preserve">L’intérêt majeur de l’arrêt réside dans l’attention portée aux mécanismes de valorisation des contenus mis en œuvre par la plateforme. En invitant les juges du fond à rechercher si l’octroi de statuts distinctifs, tels que celui de « </w:t>
      </w:r>
      <w:proofErr w:type="spellStart"/>
      <w:r w:rsidRPr="00297506">
        <w:rPr>
          <w:rFonts w:ascii="Calibri" w:hAnsi="Calibri" w:cs="Calibri"/>
        </w:rPr>
        <w:t>superhost</w:t>
      </w:r>
      <w:proofErr w:type="spellEnd"/>
      <w:r w:rsidRPr="00297506">
        <w:rPr>
          <w:rFonts w:ascii="Calibri" w:hAnsi="Calibri" w:cs="Calibri"/>
        </w:rPr>
        <w:t xml:space="preserve"> », et la promotion de certaines annonces traduisent une influence sur le contenu des offres ou sur le </w:t>
      </w:r>
      <w:r w:rsidRPr="00297506">
        <w:rPr>
          <w:rFonts w:ascii="Calibri" w:hAnsi="Calibri" w:cs="Calibri"/>
        </w:rPr>
        <w:t>comportement des utilisateurs, la Cour transpose explicitement les critères dégagés par la Cour de justice de l’Union européenne relatifs au « rôle actif » du prestataire.</w:t>
      </w:r>
    </w:p>
    <w:p w14:paraId="1F232F3B" w14:textId="77777777" w:rsidR="00297506" w:rsidRDefault="00297506" w:rsidP="00297506">
      <w:pPr>
        <w:spacing w:after="0" w:line="271" w:lineRule="auto"/>
        <w:jc w:val="both"/>
        <w:rPr>
          <w:rFonts w:ascii="Calibri" w:hAnsi="Calibri" w:cs="Calibri"/>
        </w:rPr>
      </w:pPr>
    </w:p>
    <w:p w14:paraId="246407B4" w14:textId="29EB8FE4" w:rsidR="00297506" w:rsidRDefault="00297506" w:rsidP="00297506">
      <w:pPr>
        <w:spacing w:after="0" w:line="271" w:lineRule="auto"/>
        <w:jc w:val="both"/>
        <w:rPr>
          <w:rFonts w:ascii="Calibri" w:hAnsi="Calibri" w:cs="Calibri"/>
        </w:rPr>
      </w:pPr>
      <w:r w:rsidRPr="00297506">
        <w:rPr>
          <w:rFonts w:ascii="Calibri" w:hAnsi="Calibri" w:cs="Calibri"/>
        </w:rPr>
        <w:t>La promotion algorithmique et la hiérarchisation des annonces ne peuvent plus être regardées comme de simples opérations techniques neutres. Lorsqu’elles reposent sur des critères définis, contrôlés et exploités par la plateforme, elles sont susceptibles de révéler une connaissance ou un contrôle des contenus diffusés. En ce sens, l’arrêt souligne que l’économie de l’attention propre aux plateformes numériques impose une vigilance accrue quant à l’étendue de leur responsabilité juridique.</w:t>
      </w:r>
    </w:p>
    <w:p w14:paraId="3E831990" w14:textId="77777777" w:rsidR="00297506" w:rsidRDefault="00297506" w:rsidP="00297506">
      <w:pPr>
        <w:spacing w:after="0" w:line="271" w:lineRule="auto"/>
        <w:jc w:val="both"/>
        <w:rPr>
          <w:rFonts w:ascii="Calibri" w:hAnsi="Calibri" w:cs="Calibri"/>
        </w:rPr>
      </w:pPr>
    </w:p>
    <w:p w14:paraId="19745386" w14:textId="4A75F179" w:rsidR="00297506" w:rsidRPr="00297506" w:rsidRDefault="00297506" w:rsidP="00297506">
      <w:pPr>
        <w:spacing w:after="0" w:line="271" w:lineRule="auto"/>
        <w:jc w:val="both"/>
        <w:rPr>
          <w:rFonts w:ascii="Calibri" w:hAnsi="Calibri" w:cs="Calibri"/>
          <w:b/>
          <w:bCs/>
        </w:rPr>
      </w:pPr>
      <w:r w:rsidRPr="00297506">
        <w:rPr>
          <w:rFonts w:ascii="Calibri" w:hAnsi="Calibri" w:cs="Calibri"/>
          <w:b/>
          <w:bCs/>
        </w:rPr>
        <w:t>Un encadrement strict de l’office du juge du fond au service de la sécurité juridique</w:t>
      </w:r>
    </w:p>
    <w:p w14:paraId="1EBCB802" w14:textId="77777777" w:rsidR="00297506" w:rsidRDefault="00297506" w:rsidP="00297506">
      <w:pPr>
        <w:spacing w:after="0" w:line="271" w:lineRule="auto"/>
        <w:jc w:val="both"/>
        <w:rPr>
          <w:rFonts w:ascii="Calibri" w:hAnsi="Calibri" w:cs="Calibri"/>
        </w:rPr>
      </w:pPr>
    </w:p>
    <w:p w14:paraId="1BB52A59" w14:textId="6879CF49" w:rsidR="00297506" w:rsidRDefault="00297506" w:rsidP="00297506">
      <w:pPr>
        <w:spacing w:after="0" w:line="271" w:lineRule="auto"/>
        <w:jc w:val="both"/>
        <w:rPr>
          <w:rFonts w:ascii="Calibri" w:hAnsi="Calibri" w:cs="Calibri"/>
        </w:rPr>
      </w:pPr>
      <w:r w:rsidRPr="00297506">
        <w:rPr>
          <w:rFonts w:ascii="Calibri" w:hAnsi="Calibri" w:cs="Calibri"/>
        </w:rPr>
        <w:t>En refusant de statuer elle-même sur la qualification d’Airbnb, la Cour de cassation rappelle que la distinction entre hébergeur et éditeur repose sur une appréciation factuelle souveraine, tout en encadrant strictement l’office du juge du fond par une grille d’analyse exigeante inspirée de la jurisprudence de la CJUE. La cassation prononcée ne préjuge pas de l’issue du litige, mais sanctionne l’insuffisance du raisonnement suivi par la cour d’appel, laquelle n’avait pas examiné l’ensemble des indices pertinents.</w:t>
      </w:r>
    </w:p>
    <w:p w14:paraId="4496810C" w14:textId="77777777" w:rsidR="00297506" w:rsidRDefault="00297506" w:rsidP="00297506">
      <w:pPr>
        <w:spacing w:after="0" w:line="271" w:lineRule="auto"/>
        <w:jc w:val="both"/>
        <w:rPr>
          <w:rFonts w:ascii="Calibri" w:hAnsi="Calibri" w:cs="Calibri"/>
        </w:rPr>
      </w:pPr>
    </w:p>
    <w:p w14:paraId="4FF4E9E9" w14:textId="31BFEF95" w:rsidR="00297506" w:rsidRDefault="00297506" w:rsidP="00297506">
      <w:pPr>
        <w:spacing w:after="0" w:line="271" w:lineRule="auto"/>
        <w:jc w:val="both"/>
        <w:rPr>
          <w:rFonts w:ascii="Calibri" w:hAnsi="Calibri" w:cs="Calibri"/>
        </w:rPr>
      </w:pPr>
      <w:r w:rsidRPr="00297506">
        <w:rPr>
          <w:rFonts w:ascii="Calibri" w:hAnsi="Calibri" w:cs="Calibri"/>
        </w:rPr>
        <w:t xml:space="preserve">Cette démarche illustre l’équilibre recherché entre unification du droit applicable aux plateformes et respect des compétences des juges du fond. L’arrêt confirme ainsi une tendance lourde : plus l’intervention d’une plateforme dans la structuration, la promotion et l’encadrement des contenus est marquée, plus l’exigence d’un contrôle juridictionnel rigoureux s’impose. La décision s’inscrit dès lors dans une adaptation exigeante mais </w:t>
      </w:r>
      <w:r w:rsidRPr="00297506">
        <w:rPr>
          <w:rFonts w:ascii="Calibri" w:hAnsi="Calibri" w:cs="Calibri"/>
        </w:rPr>
        <w:lastRenderedPageBreak/>
        <w:t>cohérente du droit de la responsabilité aux réalités économiques et techniques des plateformes contemporaines.</w:t>
      </w:r>
    </w:p>
    <w:p w14:paraId="0B6F04E8" w14:textId="77777777" w:rsidR="00297506" w:rsidRDefault="00297506" w:rsidP="00297506">
      <w:pPr>
        <w:spacing w:after="0" w:line="271" w:lineRule="auto"/>
        <w:rPr>
          <w:rFonts w:ascii="Calibri" w:hAnsi="Calibri" w:cs="Calibri"/>
        </w:rPr>
        <w:sectPr w:rsidR="00297506" w:rsidSect="00297506">
          <w:type w:val="continuous"/>
          <w:pgSz w:w="11906" w:h="16838"/>
          <w:pgMar w:top="1417" w:right="1417" w:bottom="1417" w:left="1417" w:header="708" w:footer="708" w:gutter="0"/>
          <w:cols w:num="2" w:space="708"/>
          <w:docGrid w:linePitch="360"/>
        </w:sectPr>
      </w:pPr>
    </w:p>
    <w:p w14:paraId="036F5D93" w14:textId="77777777" w:rsidR="00297506" w:rsidRDefault="00297506" w:rsidP="00297506">
      <w:pPr>
        <w:spacing w:after="0" w:line="271" w:lineRule="auto"/>
        <w:rPr>
          <w:rFonts w:ascii="Calibri" w:hAnsi="Calibri" w:cs="Calibri"/>
        </w:rPr>
      </w:pPr>
    </w:p>
    <w:p w14:paraId="688A428D" w14:textId="77777777" w:rsidR="00297506" w:rsidRDefault="00297506" w:rsidP="00297506">
      <w:pPr>
        <w:spacing w:after="0" w:line="271" w:lineRule="auto"/>
        <w:rPr>
          <w:rFonts w:ascii="Calibri" w:hAnsi="Calibri" w:cs="Calibri"/>
        </w:rPr>
      </w:pPr>
    </w:p>
    <w:p w14:paraId="2B19D4A3" w14:textId="77777777" w:rsidR="00297506" w:rsidRDefault="00297506" w:rsidP="00297506">
      <w:pPr>
        <w:spacing w:after="0" w:line="271" w:lineRule="auto"/>
        <w:rPr>
          <w:rFonts w:ascii="Calibri" w:hAnsi="Calibri" w:cs="Calibri"/>
        </w:rPr>
      </w:pPr>
    </w:p>
    <w:p w14:paraId="7C8008CE" w14:textId="77777777" w:rsidR="00297506" w:rsidRDefault="00297506" w:rsidP="00297506">
      <w:pPr>
        <w:spacing w:after="0" w:line="271" w:lineRule="auto"/>
        <w:rPr>
          <w:rFonts w:ascii="Calibri" w:hAnsi="Calibri" w:cs="Calibri"/>
        </w:rPr>
      </w:pPr>
    </w:p>
    <w:p w14:paraId="088E62AD" w14:textId="77777777" w:rsidR="00297506" w:rsidRDefault="00297506" w:rsidP="00297506">
      <w:pPr>
        <w:spacing w:after="0" w:line="271" w:lineRule="auto"/>
        <w:rPr>
          <w:rFonts w:ascii="Calibri" w:hAnsi="Calibri" w:cs="Calibri"/>
        </w:rPr>
      </w:pPr>
    </w:p>
    <w:p w14:paraId="25C1ADF3" w14:textId="77777777" w:rsidR="00297506" w:rsidRPr="00297506" w:rsidRDefault="00297506" w:rsidP="00297506">
      <w:pPr>
        <w:spacing w:after="0" w:line="271" w:lineRule="auto"/>
        <w:rPr>
          <w:rFonts w:ascii="Calibri" w:hAnsi="Calibri" w:cs="Calibri"/>
        </w:rPr>
      </w:pPr>
    </w:p>
    <w:sectPr w:rsidR="00297506" w:rsidRPr="00297506" w:rsidSect="0029750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56"/>
    <w:rsid w:val="00005E43"/>
    <w:rsid w:val="000F280A"/>
    <w:rsid w:val="00257152"/>
    <w:rsid w:val="00297506"/>
    <w:rsid w:val="00794E7C"/>
    <w:rsid w:val="00825362"/>
    <w:rsid w:val="00AE58ED"/>
    <w:rsid w:val="00B46A3F"/>
    <w:rsid w:val="00E90A56"/>
    <w:rsid w:val="00FB5F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72DC"/>
  <w15:chartTrackingRefBased/>
  <w15:docId w15:val="{CC54F8A7-5CD4-4E05-B8BE-1F504A04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506"/>
  </w:style>
  <w:style w:type="paragraph" w:styleId="Titre1">
    <w:name w:val="heading 1"/>
    <w:basedOn w:val="Normal"/>
    <w:next w:val="Normal"/>
    <w:link w:val="Titre1Car"/>
    <w:uiPriority w:val="9"/>
    <w:qFormat/>
    <w:rsid w:val="00E90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0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0A5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0A5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0A5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0A5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0A5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0A5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0A5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A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0A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0A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0A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0A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0A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0A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0A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0A56"/>
    <w:rPr>
      <w:rFonts w:eastAsiaTheme="majorEastAsia" w:cstheme="majorBidi"/>
      <w:color w:val="272727" w:themeColor="text1" w:themeTint="D8"/>
    </w:rPr>
  </w:style>
  <w:style w:type="paragraph" w:styleId="Titre">
    <w:name w:val="Title"/>
    <w:basedOn w:val="Normal"/>
    <w:next w:val="Normal"/>
    <w:link w:val="TitreCar"/>
    <w:uiPriority w:val="10"/>
    <w:qFormat/>
    <w:rsid w:val="00E90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0A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0A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0A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0A56"/>
    <w:pPr>
      <w:spacing w:before="160"/>
      <w:jc w:val="center"/>
    </w:pPr>
    <w:rPr>
      <w:i/>
      <w:iCs/>
      <w:color w:val="404040" w:themeColor="text1" w:themeTint="BF"/>
    </w:rPr>
  </w:style>
  <w:style w:type="character" w:customStyle="1" w:styleId="CitationCar">
    <w:name w:val="Citation Car"/>
    <w:basedOn w:val="Policepardfaut"/>
    <w:link w:val="Citation"/>
    <w:uiPriority w:val="29"/>
    <w:rsid w:val="00E90A56"/>
    <w:rPr>
      <w:i/>
      <w:iCs/>
      <w:color w:val="404040" w:themeColor="text1" w:themeTint="BF"/>
    </w:rPr>
  </w:style>
  <w:style w:type="paragraph" w:styleId="Paragraphedeliste">
    <w:name w:val="List Paragraph"/>
    <w:basedOn w:val="Normal"/>
    <w:uiPriority w:val="34"/>
    <w:qFormat/>
    <w:rsid w:val="00E90A56"/>
    <w:pPr>
      <w:ind w:left="720"/>
      <w:contextualSpacing/>
    </w:pPr>
  </w:style>
  <w:style w:type="character" w:styleId="Accentuationintense">
    <w:name w:val="Intense Emphasis"/>
    <w:basedOn w:val="Policepardfaut"/>
    <w:uiPriority w:val="21"/>
    <w:qFormat/>
    <w:rsid w:val="00E90A56"/>
    <w:rPr>
      <w:i/>
      <w:iCs/>
      <w:color w:val="0F4761" w:themeColor="accent1" w:themeShade="BF"/>
    </w:rPr>
  </w:style>
  <w:style w:type="paragraph" w:styleId="Citationintense">
    <w:name w:val="Intense Quote"/>
    <w:basedOn w:val="Normal"/>
    <w:next w:val="Normal"/>
    <w:link w:val="CitationintenseCar"/>
    <w:uiPriority w:val="30"/>
    <w:qFormat/>
    <w:rsid w:val="00E90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0A56"/>
    <w:rPr>
      <w:i/>
      <w:iCs/>
      <w:color w:val="0F4761" w:themeColor="accent1" w:themeShade="BF"/>
    </w:rPr>
  </w:style>
  <w:style w:type="character" w:styleId="Rfrenceintense">
    <w:name w:val="Intense Reference"/>
    <w:basedOn w:val="Policepardfaut"/>
    <w:uiPriority w:val="32"/>
    <w:qFormat/>
    <w:rsid w:val="00E90A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836</Words>
  <Characters>4603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Ines</dc:creator>
  <cp:keywords/>
  <dc:description/>
  <cp:lastModifiedBy>FERHAT Ines</cp:lastModifiedBy>
  <cp:revision>2</cp:revision>
  <dcterms:created xsi:type="dcterms:W3CDTF">2026-01-09T16:38:00Z</dcterms:created>
  <dcterms:modified xsi:type="dcterms:W3CDTF">2026-01-09T16:54:00Z</dcterms:modified>
</cp:coreProperties>
</file>