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8CB0" w14:textId="198A79AC" w:rsidR="00297506" w:rsidRPr="00297506" w:rsidRDefault="00297506" w:rsidP="004B2B1B">
      <w:pPr>
        <w:spacing w:after="0" w:line="271" w:lineRule="auto"/>
        <w:jc w:val="center"/>
        <w:rPr>
          <w:rFonts w:ascii="Calibri" w:hAnsi="Calibri" w:cs="Calibri"/>
          <w:b/>
          <w:bCs/>
        </w:rPr>
      </w:pPr>
      <w:r w:rsidRPr="00297506">
        <w:rPr>
          <w:rFonts w:ascii="Calibri" w:hAnsi="Calibri" w:cs="Calibri"/>
          <w:b/>
          <w:bCs/>
        </w:rPr>
        <w:t xml:space="preserve">Cour de cassation, </w:t>
      </w:r>
      <w:r w:rsidR="004B2B1B" w:rsidRPr="004B2B1B">
        <w:rPr>
          <w:rFonts w:ascii="Calibri" w:hAnsi="Calibri" w:cs="Calibri"/>
          <w:b/>
          <w:bCs/>
        </w:rPr>
        <w:t>Première chambre civile</w:t>
      </w:r>
      <w:r w:rsidR="004B2B1B">
        <w:rPr>
          <w:rFonts w:ascii="Calibri" w:hAnsi="Calibri" w:cs="Calibri"/>
          <w:b/>
          <w:bCs/>
        </w:rPr>
        <w:t xml:space="preserve"> </w:t>
      </w:r>
      <w:r w:rsidRPr="00297506">
        <w:rPr>
          <w:rFonts w:ascii="Calibri" w:hAnsi="Calibri" w:cs="Calibri"/>
          <w:b/>
          <w:bCs/>
        </w:rPr>
        <w:t xml:space="preserve">– 7 janvier 2026, </w:t>
      </w:r>
      <w:r w:rsidR="004B2B1B" w:rsidRPr="004B2B1B">
        <w:rPr>
          <w:rFonts w:ascii="Calibri" w:hAnsi="Calibri" w:cs="Calibri"/>
          <w:b/>
          <w:bCs/>
        </w:rPr>
        <w:t>n°24-17.983</w:t>
      </w:r>
    </w:p>
    <w:p w14:paraId="66A46DB6" w14:textId="77777777" w:rsidR="00297506" w:rsidRPr="00297506" w:rsidRDefault="00297506" w:rsidP="00297506">
      <w:pPr>
        <w:spacing w:after="0" w:line="271" w:lineRule="auto"/>
        <w:rPr>
          <w:rFonts w:ascii="Calibri" w:hAnsi="Calibri" w:cs="Calibri"/>
        </w:rPr>
      </w:pPr>
    </w:p>
    <w:p w14:paraId="1C5B0BE3" w14:textId="55D8934B" w:rsidR="00297506" w:rsidRPr="00297506" w:rsidRDefault="00297506" w:rsidP="004632FE">
      <w:pPr>
        <w:spacing w:after="0" w:line="271" w:lineRule="auto"/>
        <w:jc w:val="both"/>
        <w:rPr>
          <w:rFonts w:ascii="Calibri" w:hAnsi="Calibri" w:cs="Calibri"/>
        </w:rPr>
      </w:pPr>
      <w:r w:rsidRPr="00297506">
        <w:rPr>
          <w:rFonts w:ascii="Calibri" w:hAnsi="Calibri" w:cs="Calibri"/>
          <w:b/>
          <w:bCs/>
        </w:rPr>
        <w:t xml:space="preserve">MOTS CLEFS : </w:t>
      </w:r>
      <w:r w:rsidR="004B2B1B">
        <w:rPr>
          <w:rFonts w:ascii="Calibri" w:hAnsi="Calibri" w:cs="Calibri"/>
          <w:b/>
          <w:bCs/>
        </w:rPr>
        <w:t>Communication audiovisuelle</w:t>
      </w:r>
      <w:r w:rsidRPr="00297506">
        <w:rPr>
          <w:rFonts w:ascii="Calibri" w:hAnsi="Calibri" w:cs="Calibri"/>
          <w:b/>
          <w:bCs/>
        </w:rPr>
        <w:t xml:space="preserve"> – </w:t>
      </w:r>
      <w:r w:rsidR="004B2B1B">
        <w:rPr>
          <w:rFonts w:ascii="Calibri" w:hAnsi="Calibri" w:cs="Calibri"/>
          <w:b/>
          <w:bCs/>
        </w:rPr>
        <w:t xml:space="preserve">droit de réponse </w:t>
      </w:r>
      <w:r w:rsidR="004B2B1B" w:rsidRPr="00297506">
        <w:rPr>
          <w:rFonts w:ascii="Calibri" w:hAnsi="Calibri" w:cs="Calibri"/>
          <w:b/>
          <w:bCs/>
        </w:rPr>
        <w:t>–</w:t>
      </w:r>
      <w:r w:rsidR="003F06CA">
        <w:rPr>
          <w:rFonts w:ascii="Calibri" w:hAnsi="Calibri" w:cs="Calibri"/>
          <w:b/>
          <w:bCs/>
        </w:rPr>
        <w:t xml:space="preserve"> </w:t>
      </w:r>
      <w:r w:rsidR="003F06CA" w:rsidRPr="003F06CA">
        <w:rPr>
          <w:rFonts w:ascii="Calibri" w:hAnsi="Calibri" w:cs="Calibri"/>
          <w:b/>
          <w:bCs/>
        </w:rPr>
        <w:t>principe d’indivisibilité</w:t>
      </w:r>
      <w:r w:rsidR="004B2B1B">
        <w:rPr>
          <w:rFonts w:ascii="Calibri" w:hAnsi="Calibri" w:cs="Calibri"/>
          <w:b/>
          <w:bCs/>
        </w:rPr>
        <w:t xml:space="preserve"> </w:t>
      </w:r>
      <w:r w:rsidR="003F06CA" w:rsidRPr="00297506">
        <w:rPr>
          <w:rFonts w:ascii="Calibri" w:hAnsi="Calibri" w:cs="Calibri"/>
          <w:b/>
          <w:bCs/>
        </w:rPr>
        <w:t xml:space="preserve">– </w:t>
      </w:r>
      <w:r w:rsidR="004B2B1B">
        <w:rPr>
          <w:rFonts w:ascii="Calibri" w:hAnsi="Calibri" w:cs="Calibri"/>
          <w:b/>
          <w:bCs/>
        </w:rPr>
        <w:t xml:space="preserve">France </w:t>
      </w:r>
      <w:r w:rsidR="00546FF3">
        <w:rPr>
          <w:rFonts w:ascii="Calibri" w:hAnsi="Calibri" w:cs="Calibri"/>
          <w:b/>
          <w:bCs/>
        </w:rPr>
        <w:t>T</w:t>
      </w:r>
      <w:r w:rsidR="004B2B1B">
        <w:rPr>
          <w:rFonts w:ascii="Calibri" w:hAnsi="Calibri" w:cs="Calibri"/>
          <w:b/>
          <w:bCs/>
        </w:rPr>
        <w:t>élévisions</w:t>
      </w:r>
      <w:r w:rsidRPr="00297506">
        <w:rPr>
          <w:rFonts w:ascii="Calibri" w:hAnsi="Calibri" w:cs="Calibri"/>
          <w:b/>
          <w:bCs/>
        </w:rPr>
        <w:t xml:space="preserve"> – </w:t>
      </w:r>
      <w:r w:rsidR="004B2B1B">
        <w:rPr>
          <w:rFonts w:ascii="Calibri" w:hAnsi="Calibri" w:cs="Calibri"/>
          <w:b/>
          <w:bCs/>
        </w:rPr>
        <w:t>Loi de 1881</w:t>
      </w:r>
      <w:r w:rsidRPr="00297506">
        <w:rPr>
          <w:rFonts w:ascii="Calibri" w:hAnsi="Calibri" w:cs="Calibri"/>
          <w:b/>
          <w:bCs/>
        </w:rPr>
        <w:t xml:space="preserve"> – </w:t>
      </w:r>
      <w:r w:rsidR="004B2B1B">
        <w:rPr>
          <w:rFonts w:ascii="Calibri" w:hAnsi="Calibri" w:cs="Calibri"/>
          <w:b/>
          <w:bCs/>
        </w:rPr>
        <w:t>loi de 1</w:t>
      </w:r>
      <w:r w:rsidR="00546FF3">
        <w:rPr>
          <w:rFonts w:ascii="Calibri" w:hAnsi="Calibri" w:cs="Calibri"/>
          <w:b/>
          <w:bCs/>
        </w:rPr>
        <w:t>9</w:t>
      </w:r>
      <w:r w:rsidR="004B2B1B">
        <w:rPr>
          <w:rFonts w:ascii="Calibri" w:hAnsi="Calibri" w:cs="Calibri"/>
          <w:b/>
          <w:bCs/>
        </w:rPr>
        <w:t>82</w:t>
      </w:r>
      <w:r w:rsidRPr="00297506">
        <w:rPr>
          <w:rFonts w:ascii="Calibri" w:hAnsi="Calibri" w:cs="Calibri"/>
          <w:b/>
          <w:bCs/>
        </w:rPr>
        <w:t xml:space="preserve"> – </w:t>
      </w:r>
      <w:r w:rsidR="004B2B1B">
        <w:rPr>
          <w:rFonts w:ascii="Calibri" w:hAnsi="Calibri" w:cs="Calibri"/>
          <w:b/>
          <w:bCs/>
        </w:rPr>
        <w:t>LCEN</w:t>
      </w:r>
    </w:p>
    <w:p w14:paraId="6BE3D609" w14:textId="77777777" w:rsidR="00297506" w:rsidRPr="00297506" w:rsidRDefault="00297506" w:rsidP="00297506">
      <w:pPr>
        <w:spacing w:after="0" w:line="271" w:lineRule="auto"/>
        <w:rPr>
          <w:rFonts w:ascii="Calibri" w:hAnsi="Calibri" w:cs="Calibri"/>
        </w:rPr>
      </w:pPr>
    </w:p>
    <w:p w14:paraId="48F85DE1" w14:textId="6E15775C" w:rsidR="00297506" w:rsidRDefault="004B2B1B" w:rsidP="004632FE">
      <w:pPr>
        <w:spacing w:after="0" w:line="271" w:lineRule="auto"/>
        <w:jc w:val="both"/>
        <w:rPr>
          <w:rFonts w:ascii="Calibri" w:hAnsi="Calibri" w:cs="Calibri"/>
        </w:rPr>
      </w:pPr>
      <w:r w:rsidRPr="004B2B1B">
        <w:rPr>
          <w:rFonts w:ascii="Calibri" w:hAnsi="Calibri" w:cs="Calibri"/>
          <w:i/>
          <w:iCs/>
        </w:rPr>
        <w:t>Par cet arrêt, la Cour de cassation précise le régime du droit de réponse lorsqu’un même contenu audiovisuel est diffusé à la fois à la télévision et sur des supports numériques. Elle affirme le caractère général et absolu du droit de réponse, tout en limitant la portée du principe d’indivisibilité, qui ne saurait justifier le refus global d’insertion au motif que l’un des demandeurs ne serait pas directement visé. La décision s’inscrit dans une jurisprudence protectrice des droits des personnes mises en cause dans l’espace médiatique numérique et encadre strictement les motifs permettant à un éditeur de refuser une réponse.</w:t>
      </w:r>
    </w:p>
    <w:p w14:paraId="363B0352" w14:textId="77777777" w:rsidR="00297506" w:rsidRPr="00297506" w:rsidRDefault="00297506" w:rsidP="00297506">
      <w:pPr>
        <w:spacing w:after="0" w:line="271" w:lineRule="auto"/>
        <w:rPr>
          <w:rFonts w:ascii="Calibri" w:hAnsi="Calibri" w:cs="Calibri"/>
        </w:rPr>
      </w:pPr>
    </w:p>
    <w:tbl>
      <w:tblPr>
        <w:tblW w:w="922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0"/>
      </w:tblGrid>
      <w:tr w:rsidR="00297506" w14:paraId="3789A2EE" w14:textId="77777777" w:rsidTr="00297506">
        <w:trPr>
          <w:trHeight w:val="4310"/>
        </w:trPr>
        <w:tc>
          <w:tcPr>
            <w:tcW w:w="9220" w:type="dxa"/>
          </w:tcPr>
          <w:p w14:paraId="42EC7950" w14:textId="1569B2DA" w:rsidR="00297506" w:rsidRDefault="00297506" w:rsidP="00CD4422">
            <w:pPr>
              <w:spacing w:after="0" w:line="271" w:lineRule="auto"/>
              <w:jc w:val="both"/>
              <w:rPr>
                <w:rFonts w:ascii="Calibri" w:hAnsi="Calibri" w:cs="Calibri"/>
              </w:rPr>
            </w:pPr>
            <w:r>
              <w:rPr>
                <w:rFonts w:ascii="Calibri" w:hAnsi="Calibri" w:cs="Calibri"/>
                <w:b/>
                <w:bCs/>
              </w:rPr>
              <w:t>FAITS</w:t>
            </w:r>
            <w:r>
              <w:rPr>
                <w:rFonts w:ascii="Calibri" w:hAnsi="Calibri" w:cs="Calibri"/>
              </w:rPr>
              <w:t xml:space="preserve"> : </w:t>
            </w:r>
            <w:r w:rsidR="0003260D" w:rsidRPr="0003260D">
              <w:rPr>
                <w:rFonts w:ascii="Calibri" w:hAnsi="Calibri" w:cs="Calibri"/>
              </w:rPr>
              <w:t xml:space="preserve">Le 29 septembre 2022, la chaîne France 2 diffuse, dans l’émission « Complément d’enquête », un reportage intitulé </w:t>
            </w:r>
            <w:r w:rsidR="0003260D" w:rsidRPr="0003260D">
              <w:rPr>
                <w:rFonts w:ascii="Calibri" w:hAnsi="Calibri" w:cs="Calibri"/>
                <w:i/>
                <w:iCs/>
              </w:rPr>
              <w:t>« Porno : une industrie hors de contrôle ? »</w:t>
            </w:r>
            <w:r w:rsidR="0003260D" w:rsidRPr="0003260D">
              <w:rPr>
                <w:rFonts w:ascii="Calibri" w:hAnsi="Calibri" w:cs="Calibri"/>
              </w:rPr>
              <w:t>, consacré aux dérives alléguées de l’industrie pornographique.</w:t>
            </w:r>
            <w:r w:rsidR="0003260D">
              <w:rPr>
                <w:rFonts w:ascii="Calibri" w:hAnsi="Calibri" w:cs="Calibri"/>
              </w:rPr>
              <w:t xml:space="preserve"> </w:t>
            </w:r>
            <w:r w:rsidR="0003260D" w:rsidRPr="0003260D">
              <w:rPr>
                <w:rFonts w:ascii="Calibri" w:hAnsi="Calibri" w:cs="Calibri"/>
              </w:rPr>
              <w:t xml:space="preserve">Estimant que certaines séquences et propos de ce reportage portaient atteinte à leur honneur et à leur réputation, la société 1979 média ainsi que </w:t>
            </w:r>
            <w:r w:rsidR="0003260D">
              <w:rPr>
                <w:rFonts w:ascii="Calibri" w:hAnsi="Calibri" w:cs="Calibri"/>
              </w:rPr>
              <w:t>plusieurs individus</w:t>
            </w:r>
            <w:r w:rsidR="0003260D" w:rsidRPr="0003260D">
              <w:rPr>
                <w:rFonts w:ascii="Calibri" w:hAnsi="Calibri" w:cs="Calibri"/>
              </w:rPr>
              <w:t xml:space="preserve"> connus sous des pseudonymes, considèrent être mis en cause par l’émission. Le reportage est ultérieurement rediffusé sur le site internet de France Télévisions ainsi que sur le compte Twitter de la chaîne, prolongeant ainsi sa diffusion dans l’espace numérique.</w:t>
            </w:r>
          </w:p>
          <w:p w14:paraId="7FA93AA7" w14:textId="77777777" w:rsidR="0003260D" w:rsidRDefault="0003260D" w:rsidP="0003260D">
            <w:pPr>
              <w:spacing w:after="0" w:line="271" w:lineRule="auto"/>
              <w:rPr>
                <w:rFonts w:ascii="Calibri" w:hAnsi="Calibri" w:cs="Calibri"/>
              </w:rPr>
            </w:pPr>
          </w:p>
          <w:p w14:paraId="151075C2" w14:textId="01BAB81B" w:rsidR="004B2B1B" w:rsidRDefault="00297506" w:rsidP="00CD4422">
            <w:pPr>
              <w:spacing w:after="0" w:line="271" w:lineRule="auto"/>
              <w:jc w:val="both"/>
              <w:rPr>
                <w:rFonts w:ascii="Calibri" w:hAnsi="Calibri" w:cs="Calibri"/>
              </w:rPr>
            </w:pPr>
            <w:r>
              <w:rPr>
                <w:rFonts w:ascii="Calibri" w:hAnsi="Calibri" w:cs="Calibri"/>
                <w:b/>
                <w:bCs/>
              </w:rPr>
              <w:t>PROC</w:t>
            </w:r>
            <w:r w:rsidRPr="00D70400">
              <w:rPr>
                <w:rFonts w:ascii="Calibri" w:hAnsi="Calibri" w:cs="Calibri"/>
                <w:b/>
                <w:bCs/>
              </w:rPr>
              <w:t>É</w:t>
            </w:r>
            <w:r>
              <w:rPr>
                <w:rFonts w:ascii="Calibri" w:hAnsi="Calibri" w:cs="Calibri"/>
                <w:b/>
                <w:bCs/>
              </w:rPr>
              <w:t>DURE</w:t>
            </w:r>
            <w:r>
              <w:rPr>
                <w:rFonts w:ascii="Calibri" w:hAnsi="Calibri" w:cs="Calibri"/>
              </w:rPr>
              <w:t xml:space="preserve"> : </w:t>
            </w:r>
            <w:r w:rsidR="00CD4422" w:rsidRPr="00CD4422">
              <w:rPr>
                <w:rFonts w:ascii="Calibri" w:hAnsi="Calibri" w:cs="Calibri"/>
              </w:rPr>
              <w:t>Les intéressés sollicitent d’abord l’exercice du droit de réponse à la télévision, sur le fondement de l’article 6 de la loi du 29 juillet 1982 relative à la communication audiovisuelle.</w:t>
            </w:r>
            <w:r w:rsidR="00CD4422">
              <w:rPr>
                <w:rFonts w:ascii="Calibri" w:hAnsi="Calibri" w:cs="Calibri"/>
              </w:rPr>
              <w:t xml:space="preserve"> A la suite de</w:t>
            </w:r>
            <w:r w:rsidR="00CD4422" w:rsidRPr="00CD4422">
              <w:rPr>
                <w:rFonts w:ascii="Calibri" w:hAnsi="Calibri" w:cs="Calibri"/>
              </w:rPr>
              <w:t xml:space="preserve"> la rediffusion du reportage sur les supports numériques de la chaîne, ils demandent également la publication d’un droit de réponse en ligne sur le fondement de l’article 13 de la loi du 29 juillet 1881 et de l’article 6, IV, de la LCEN.</w:t>
            </w:r>
            <w:r w:rsidR="00CD4422">
              <w:rPr>
                <w:rFonts w:ascii="Calibri" w:hAnsi="Calibri" w:cs="Calibri"/>
              </w:rPr>
              <w:t xml:space="preserve"> </w:t>
            </w:r>
            <w:r w:rsidR="00CD4422" w:rsidRPr="00CD4422">
              <w:rPr>
                <w:rFonts w:ascii="Calibri" w:hAnsi="Calibri" w:cs="Calibri"/>
              </w:rPr>
              <w:t xml:space="preserve">Face au refus opposé par France Télévisions, ils assignent la directrice de la publication devant le juge des référés. La </w:t>
            </w:r>
            <w:r w:rsidR="00CD4422">
              <w:rPr>
                <w:rFonts w:ascii="Calibri" w:hAnsi="Calibri" w:cs="Calibri"/>
              </w:rPr>
              <w:t>C</w:t>
            </w:r>
            <w:r w:rsidR="00CD4422" w:rsidRPr="00CD4422">
              <w:rPr>
                <w:rFonts w:ascii="Calibri" w:hAnsi="Calibri" w:cs="Calibri"/>
              </w:rPr>
              <w:t>our d’appel de Paris rejette leurs demandes, estimant que l’un des demandeurs n’était pas directement visé par l’émission et que le principe d’indivisibilité du droit de réponse faisait obstacle à l’insertion de la réponse pour l’ensemble des demandeurs. Les intéressés forment alors un pourvoi en cassation.</w:t>
            </w:r>
          </w:p>
          <w:p w14:paraId="3C6D5BA0" w14:textId="77777777" w:rsidR="00CD4422" w:rsidRDefault="00CD4422" w:rsidP="00CD4422">
            <w:pPr>
              <w:spacing w:after="0" w:line="271" w:lineRule="auto"/>
              <w:rPr>
                <w:rFonts w:ascii="Calibri" w:hAnsi="Calibri" w:cs="Calibri"/>
              </w:rPr>
            </w:pPr>
          </w:p>
          <w:p w14:paraId="16B7B108" w14:textId="200F38A1" w:rsidR="004B2B1B" w:rsidRPr="004B2B1B" w:rsidRDefault="00297506" w:rsidP="00CD4422">
            <w:pPr>
              <w:spacing w:after="0" w:line="271" w:lineRule="auto"/>
              <w:jc w:val="both"/>
              <w:rPr>
                <w:rFonts w:ascii="Calibri" w:hAnsi="Calibri" w:cs="Calibri"/>
              </w:rPr>
            </w:pPr>
            <w:r>
              <w:rPr>
                <w:rFonts w:ascii="Calibri" w:hAnsi="Calibri" w:cs="Calibri"/>
                <w:b/>
                <w:bCs/>
              </w:rPr>
              <w:t>PROBL</w:t>
            </w:r>
            <w:r w:rsidRPr="00D70400">
              <w:rPr>
                <w:rFonts w:ascii="Calibri" w:hAnsi="Calibri" w:cs="Calibri"/>
                <w:b/>
                <w:bCs/>
              </w:rPr>
              <w:t>È</w:t>
            </w:r>
            <w:r>
              <w:rPr>
                <w:rFonts w:ascii="Calibri" w:hAnsi="Calibri" w:cs="Calibri"/>
                <w:b/>
                <w:bCs/>
              </w:rPr>
              <w:t>ME DE DROIT</w:t>
            </w:r>
            <w:r>
              <w:rPr>
                <w:rFonts w:ascii="Calibri" w:hAnsi="Calibri" w:cs="Calibri"/>
              </w:rPr>
              <w:t xml:space="preserve"> : </w:t>
            </w:r>
            <w:r w:rsidR="004B2B1B" w:rsidRPr="004B2B1B">
              <w:rPr>
                <w:rFonts w:ascii="Calibri" w:hAnsi="Calibri" w:cs="Calibri"/>
              </w:rPr>
              <w:t>Le directeur de publication peut-il refuser l’insertion d’une réponse demandée par plusieurs personnes au motif que l’une d’elles n’est pas directement visée par la publication litigieuse ?</w:t>
            </w:r>
          </w:p>
          <w:p w14:paraId="29E9C78B" w14:textId="013B571C" w:rsidR="004B2B1B" w:rsidRPr="00297506" w:rsidRDefault="004B2B1B" w:rsidP="00297506">
            <w:pPr>
              <w:spacing w:after="0" w:line="271" w:lineRule="auto"/>
              <w:rPr>
                <w:rFonts w:ascii="Calibri" w:hAnsi="Calibri" w:cs="Calibri"/>
              </w:rPr>
            </w:pPr>
          </w:p>
          <w:p w14:paraId="0005D1B7" w14:textId="77777777" w:rsidR="004B2B1B" w:rsidRPr="004B2B1B" w:rsidRDefault="004B2B1B" w:rsidP="00CD4422">
            <w:pPr>
              <w:spacing w:after="0" w:line="271" w:lineRule="auto"/>
              <w:jc w:val="both"/>
              <w:rPr>
                <w:rFonts w:ascii="Calibri" w:hAnsi="Calibri" w:cs="Calibri"/>
                <w:vanish/>
              </w:rPr>
            </w:pPr>
          </w:p>
          <w:p w14:paraId="051CA8F0" w14:textId="4C0CA6E1" w:rsidR="00297506" w:rsidRDefault="00297506" w:rsidP="00CD4422">
            <w:pPr>
              <w:spacing w:after="0" w:line="271" w:lineRule="auto"/>
              <w:jc w:val="both"/>
              <w:rPr>
                <w:rFonts w:ascii="Calibri" w:hAnsi="Calibri" w:cs="Calibri"/>
                <w:b/>
                <w:bCs/>
              </w:rPr>
            </w:pPr>
            <w:r>
              <w:rPr>
                <w:rFonts w:ascii="Calibri" w:hAnsi="Calibri" w:cs="Calibri"/>
                <w:b/>
                <w:bCs/>
              </w:rPr>
              <w:t>SOLUTION</w:t>
            </w:r>
            <w:r>
              <w:rPr>
                <w:rFonts w:ascii="Calibri" w:hAnsi="Calibri" w:cs="Calibri"/>
              </w:rPr>
              <w:t xml:space="preserve"> : </w:t>
            </w:r>
            <w:r w:rsidR="00CD4422" w:rsidRPr="00CD4422">
              <w:rPr>
                <w:rFonts w:ascii="Calibri" w:hAnsi="Calibri" w:cs="Calibri"/>
              </w:rPr>
              <w:t>La Cour de cassation casse l</w:t>
            </w:r>
            <w:r w:rsidR="004560A5">
              <w:rPr>
                <w:rFonts w:ascii="Calibri" w:hAnsi="Calibri" w:cs="Calibri"/>
              </w:rPr>
              <w:t xml:space="preserve">’arrêt </w:t>
            </w:r>
            <w:r w:rsidR="00CD4422" w:rsidRPr="00CD4422">
              <w:rPr>
                <w:rFonts w:ascii="Calibri" w:hAnsi="Calibri" w:cs="Calibri"/>
              </w:rPr>
              <w:t>attaqué</w:t>
            </w:r>
            <w:r w:rsidR="004560A5">
              <w:rPr>
                <w:rFonts w:ascii="Calibri" w:hAnsi="Calibri" w:cs="Calibri"/>
              </w:rPr>
              <w:t xml:space="preserve"> </w:t>
            </w:r>
            <w:r w:rsidR="00CD4422" w:rsidRPr="00CD4422">
              <w:rPr>
                <w:rFonts w:ascii="Calibri" w:hAnsi="Calibri" w:cs="Calibri"/>
              </w:rPr>
              <w:t>pour défaut de base légale. Elle juge que le droit de réponse est général et absolu et que le principe d’indivisibilité ne s’applique qu’au contenu de la réponse elle-même. Dès lors, la seule circonstance que l’un des demandeurs ne soit pas personnellement visé par l’émission ne pouvait justifier le refus global opposé aux autres.</w:t>
            </w:r>
            <w:r w:rsidR="00CD4422">
              <w:rPr>
                <w:rFonts w:ascii="Calibri" w:hAnsi="Calibri" w:cs="Calibri"/>
              </w:rPr>
              <w:t xml:space="preserve"> </w:t>
            </w:r>
            <w:r w:rsidR="00CD4422" w:rsidRPr="00CD4422">
              <w:rPr>
                <w:rFonts w:ascii="Calibri" w:hAnsi="Calibri" w:cs="Calibri"/>
              </w:rPr>
              <w:t xml:space="preserve">La </w:t>
            </w:r>
            <w:r w:rsidR="004560A5">
              <w:rPr>
                <w:rFonts w:ascii="Calibri" w:hAnsi="Calibri" w:cs="Calibri"/>
              </w:rPr>
              <w:t>Première chambre civile</w:t>
            </w:r>
            <w:r w:rsidR="00CD4422" w:rsidRPr="00CD4422">
              <w:rPr>
                <w:rFonts w:ascii="Calibri" w:hAnsi="Calibri" w:cs="Calibri"/>
              </w:rPr>
              <w:t xml:space="preserve"> reproche à la </w:t>
            </w:r>
            <w:r w:rsidR="004560A5">
              <w:rPr>
                <w:rFonts w:ascii="Calibri" w:hAnsi="Calibri" w:cs="Calibri"/>
              </w:rPr>
              <w:t>C</w:t>
            </w:r>
            <w:r w:rsidR="00CD4422" w:rsidRPr="00CD4422">
              <w:rPr>
                <w:rFonts w:ascii="Calibri" w:hAnsi="Calibri" w:cs="Calibri"/>
              </w:rPr>
              <w:t xml:space="preserve">our d’appel de ne pas avoir recherché si la réponse demandée par les personnes effectivement visées par le reportage présentait une corrélation suffisante avec </w:t>
            </w:r>
            <w:r w:rsidR="004560A5">
              <w:rPr>
                <w:rFonts w:ascii="Calibri" w:hAnsi="Calibri" w:cs="Calibri"/>
              </w:rPr>
              <w:t>ce dernier</w:t>
            </w:r>
            <w:r w:rsidR="00CD4422" w:rsidRPr="00CD4422">
              <w:rPr>
                <w:rFonts w:ascii="Calibri" w:hAnsi="Calibri" w:cs="Calibri"/>
              </w:rPr>
              <w:t xml:space="preserve"> et si elle pouvait être publiée uniquement en leurs noms.</w:t>
            </w:r>
          </w:p>
        </w:tc>
      </w:tr>
    </w:tbl>
    <w:p w14:paraId="1A2B77AB" w14:textId="77777777" w:rsidR="00297506" w:rsidRDefault="00297506" w:rsidP="00297506">
      <w:pPr>
        <w:spacing w:after="0" w:line="271" w:lineRule="auto"/>
        <w:rPr>
          <w:rFonts w:ascii="Calibri" w:hAnsi="Calibri" w:cs="Calibri"/>
        </w:rPr>
      </w:pPr>
    </w:p>
    <w:p w14:paraId="6BC8AD26" w14:textId="77777777" w:rsidR="00297506" w:rsidRDefault="00297506" w:rsidP="00297506">
      <w:pPr>
        <w:spacing w:after="0" w:line="271" w:lineRule="auto"/>
        <w:rPr>
          <w:rFonts w:ascii="Calibri" w:hAnsi="Calibri" w:cs="Calibri"/>
        </w:rPr>
      </w:pPr>
    </w:p>
    <w:p w14:paraId="55BD219E" w14:textId="77777777" w:rsidR="004560A5" w:rsidRDefault="004560A5" w:rsidP="00297506">
      <w:pPr>
        <w:spacing w:after="0" w:line="271" w:lineRule="auto"/>
        <w:rPr>
          <w:rFonts w:ascii="Calibri" w:hAnsi="Calibri" w:cs="Calibri"/>
        </w:rPr>
      </w:pPr>
    </w:p>
    <w:p w14:paraId="626B7FC5" w14:textId="77777777" w:rsidR="00297506" w:rsidRDefault="00297506" w:rsidP="00297506">
      <w:pPr>
        <w:spacing w:after="0" w:line="271" w:lineRule="auto"/>
        <w:rPr>
          <w:rFonts w:ascii="Calibri" w:hAnsi="Calibri" w:cs="Calibri"/>
        </w:rPr>
      </w:pPr>
    </w:p>
    <w:p w14:paraId="123B1122" w14:textId="77777777" w:rsidR="00297506" w:rsidRPr="00D70400" w:rsidRDefault="00297506" w:rsidP="00297506">
      <w:pPr>
        <w:spacing w:after="0" w:line="271" w:lineRule="auto"/>
        <w:jc w:val="both"/>
        <w:rPr>
          <w:rFonts w:ascii="Calibri" w:hAnsi="Calibri" w:cs="Calibri"/>
          <w:b/>
          <w:bCs/>
        </w:rPr>
      </w:pPr>
      <w:r w:rsidRPr="00D70400">
        <w:rPr>
          <w:rFonts w:ascii="Calibri" w:hAnsi="Calibri" w:cs="Calibri"/>
          <w:b/>
          <w:bCs/>
        </w:rPr>
        <w:lastRenderedPageBreak/>
        <w:t>NOTE :</w:t>
      </w:r>
    </w:p>
    <w:p w14:paraId="7DB21E4D" w14:textId="77777777" w:rsidR="00297506" w:rsidRDefault="00297506" w:rsidP="00297506">
      <w:pPr>
        <w:spacing w:after="0" w:line="271" w:lineRule="auto"/>
        <w:rPr>
          <w:rFonts w:ascii="Calibri" w:hAnsi="Calibri" w:cs="Calibri"/>
        </w:rPr>
      </w:pPr>
    </w:p>
    <w:p w14:paraId="05D304E2" w14:textId="77777777" w:rsidR="00297506" w:rsidRDefault="00297506" w:rsidP="00297506">
      <w:pPr>
        <w:spacing w:after="0" w:line="271" w:lineRule="auto"/>
        <w:jc w:val="both"/>
        <w:rPr>
          <w:rFonts w:ascii="Calibri" w:hAnsi="Calibri" w:cs="Calibri"/>
        </w:rPr>
        <w:sectPr w:rsidR="00297506">
          <w:pgSz w:w="11906" w:h="16838"/>
          <w:pgMar w:top="1417" w:right="1417" w:bottom="1417" w:left="1417" w:header="708" w:footer="708" w:gutter="0"/>
          <w:cols w:space="708"/>
          <w:docGrid w:linePitch="360"/>
        </w:sectPr>
      </w:pPr>
    </w:p>
    <w:p w14:paraId="15474DA7" w14:textId="38E574B0" w:rsidR="00297506" w:rsidRDefault="00546FF3" w:rsidP="00546FF3">
      <w:pPr>
        <w:spacing w:after="0" w:line="271" w:lineRule="auto"/>
        <w:jc w:val="both"/>
        <w:rPr>
          <w:rFonts w:ascii="Calibri" w:hAnsi="Calibri" w:cs="Calibri"/>
        </w:rPr>
      </w:pPr>
      <w:r w:rsidRPr="00546FF3">
        <w:rPr>
          <w:rFonts w:ascii="Calibri" w:hAnsi="Calibri" w:cs="Calibri"/>
        </w:rPr>
        <w:t>Par cette décision, la Cour de cassation réaffirme avec force le caractère général et absolu du droit de réponse, consacré tant par la loi du 29 juillet 1881 que par la loi du 29 juillet 1982 et la LCEN. Le droit de réponse constitue une garantie essentielle de la protection de la réputation dans l’espace public médiatique, indépendamment de la véracité ou de la gravité des imputations en cause. Celui qui en use demeure seul juge de la teneur, de l’étendue et de la forme de la réponse demandée, le refus d’insertion ne pouvant être justifié que par des motifs strictement limités.</w:t>
      </w:r>
    </w:p>
    <w:p w14:paraId="3DA02781" w14:textId="77777777" w:rsidR="00546FF3" w:rsidRDefault="00546FF3" w:rsidP="00546FF3">
      <w:pPr>
        <w:spacing w:after="0" w:line="271" w:lineRule="auto"/>
        <w:jc w:val="both"/>
        <w:rPr>
          <w:rFonts w:ascii="Calibri" w:hAnsi="Calibri" w:cs="Calibri"/>
        </w:rPr>
      </w:pPr>
    </w:p>
    <w:p w14:paraId="5F88CBAD" w14:textId="2419D2FF" w:rsidR="00297506" w:rsidRDefault="00546FF3" w:rsidP="00546FF3">
      <w:pPr>
        <w:spacing w:after="0" w:line="271" w:lineRule="auto"/>
        <w:jc w:val="both"/>
        <w:rPr>
          <w:rFonts w:ascii="Calibri" w:hAnsi="Calibri" w:cs="Calibri"/>
        </w:rPr>
      </w:pPr>
      <w:r w:rsidRPr="00546FF3">
        <w:rPr>
          <w:rFonts w:ascii="Calibri" w:hAnsi="Calibri" w:cs="Calibri"/>
          <w:b/>
          <w:bCs/>
        </w:rPr>
        <w:t>L’affirmation du caractère général et absolu du droit de réponse dans l’environnement médiatique numérique</w:t>
      </w:r>
    </w:p>
    <w:p w14:paraId="6469872C" w14:textId="77777777" w:rsidR="00546FF3" w:rsidRDefault="00546FF3" w:rsidP="00297506">
      <w:pPr>
        <w:spacing w:after="0" w:line="271" w:lineRule="auto"/>
        <w:jc w:val="both"/>
        <w:rPr>
          <w:rFonts w:ascii="Calibri" w:hAnsi="Calibri" w:cs="Calibri"/>
        </w:rPr>
      </w:pPr>
    </w:p>
    <w:p w14:paraId="73447917" w14:textId="67D19E92" w:rsidR="00297506" w:rsidRDefault="00546FF3" w:rsidP="00546FF3">
      <w:pPr>
        <w:spacing w:after="0" w:line="271" w:lineRule="auto"/>
        <w:jc w:val="both"/>
        <w:rPr>
          <w:rFonts w:ascii="Calibri" w:hAnsi="Calibri" w:cs="Calibri"/>
        </w:rPr>
      </w:pPr>
      <w:r w:rsidRPr="00546FF3">
        <w:rPr>
          <w:rFonts w:ascii="Calibri" w:hAnsi="Calibri" w:cs="Calibri"/>
        </w:rPr>
        <w:t>L’intérêt de l’arrêt tient à son application à un contexte de diffusion hybride, mêlant télévision et supports numériques. En rappelant que le droit de réponse s’applique pleinement aux contenus diffusés en ligne par un média audiovisuel, la Cour consacre l’unité du régime juridique applicable, malgré la diversification des canaux de communication. Cette solution s’inscrit dans une adaptation cohérente des principes classiques du droit de la presse aux usages contemporains de la communication électronique.</w:t>
      </w:r>
    </w:p>
    <w:p w14:paraId="7A1C37EE" w14:textId="77777777" w:rsidR="00546FF3" w:rsidRDefault="00546FF3" w:rsidP="00546FF3">
      <w:pPr>
        <w:spacing w:after="0" w:line="271" w:lineRule="auto"/>
        <w:jc w:val="both"/>
        <w:rPr>
          <w:rFonts w:ascii="Calibri" w:hAnsi="Calibri" w:cs="Calibri"/>
        </w:rPr>
      </w:pPr>
    </w:p>
    <w:p w14:paraId="549D981E" w14:textId="1893B4C9" w:rsidR="00297506" w:rsidRDefault="003F06CA" w:rsidP="003F06CA">
      <w:pPr>
        <w:spacing w:after="0" w:line="271" w:lineRule="auto"/>
        <w:jc w:val="both"/>
        <w:rPr>
          <w:rFonts w:ascii="Calibri" w:hAnsi="Calibri" w:cs="Calibri"/>
        </w:rPr>
      </w:pPr>
      <w:r w:rsidRPr="003F06CA">
        <w:rPr>
          <w:rFonts w:ascii="Calibri" w:hAnsi="Calibri" w:cs="Calibri"/>
          <w:b/>
          <w:bCs/>
        </w:rPr>
        <w:t>La limitation du principe d’indivisibilité au seul contenu de la réponse</w:t>
      </w:r>
    </w:p>
    <w:p w14:paraId="7192DE9E" w14:textId="77777777" w:rsidR="003F06CA" w:rsidRDefault="003F06CA" w:rsidP="00297506">
      <w:pPr>
        <w:spacing w:after="0" w:line="271" w:lineRule="auto"/>
        <w:jc w:val="both"/>
        <w:rPr>
          <w:rFonts w:ascii="Calibri" w:hAnsi="Calibri" w:cs="Calibri"/>
        </w:rPr>
      </w:pPr>
    </w:p>
    <w:p w14:paraId="703E3BBD" w14:textId="1E86A23F" w:rsidR="003F06CA" w:rsidRDefault="003F06CA" w:rsidP="003F06CA">
      <w:pPr>
        <w:spacing w:after="0" w:line="271" w:lineRule="auto"/>
        <w:jc w:val="both"/>
        <w:rPr>
          <w:rFonts w:ascii="Calibri" w:hAnsi="Calibri" w:cs="Calibri"/>
        </w:rPr>
      </w:pPr>
      <w:r w:rsidRPr="003F06CA">
        <w:rPr>
          <w:rFonts w:ascii="Calibri" w:hAnsi="Calibri" w:cs="Calibri"/>
        </w:rPr>
        <w:t xml:space="preserve">La Cour opère une clarification essentielle quant à la portée du principe d’indivisibilité du droit de réponse. Elle affirme que ce principe ne concerne que le contenu même de la réponse sollicitée, et non l’identité des personnes qui en demandent l’insertion. Dès lors, la circonstance que l’un des demandeurs ne soit pas directement visé par la </w:t>
      </w:r>
      <w:r w:rsidRPr="003F06CA">
        <w:rPr>
          <w:rFonts w:ascii="Calibri" w:hAnsi="Calibri" w:cs="Calibri"/>
        </w:rPr>
        <w:t>communication litigieuse ne saurait justifier le refus global opposé aux autres.</w:t>
      </w:r>
    </w:p>
    <w:p w14:paraId="458198BA" w14:textId="77777777" w:rsidR="003F06CA" w:rsidRDefault="003F06CA" w:rsidP="003F06CA">
      <w:pPr>
        <w:spacing w:after="0" w:line="271" w:lineRule="auto"/>
        <w:jc w:val="both"/>
        <w:rPr>
          <w:rFonts w:ascii="Calibri" w:hAnsi="Calibri" w:cs="Calibri"/>
        </w:rPr>
      </w:pPr>
    </w:p>
    <w:p w14:paraId="3E831990" w14:textId="2D0B32AC" w:rsidR="00297506" w:rsidRDefault="003F06CA" w:rsidP="003F06CA">
      <w:pPr>
        <w:spacing w:after="0" w:line="271" w:lineRule="auto"/>
        <w:jc w:val="both"/>
        <w:rPr>
          <w:rFonts w:ascii="Calibri" w:hAnsi="Calibri" w:cs="Calibri"/>
        </w:rPr>
      </w:pPr>
      <w:r w:rsidRPr="003F06CA">
        <w:rPr>
          <w:rFonts w:ascii="Calibri" w:hAnsi="Calibri" w:cs="Calibri"/>
        </w:rPr>
        <w:t xml:space="preserve">En reprochant à la </w:t>
      </w:r>
      <w:r>
        <w:rPr>
          <w:rFonts w:ascii="Calibri" w:hAnsi="Calibri" w:cs="Calibri"/>
        </w:rPr>
        <w:t>C</w:t>
      </w:r>
      <w:r w:rsidRPr="003F06CA">
        <w:rPr>
          <w:rFonts w:ascii="Calibri" w:hAnsi="Calibri" w:cs="Calibri"/>
        </w:rPr>
        <w:t>our d’appel de ne pas avoir recherché si la réponse pouvait être publiée pour les seuls demandeurs effectivement concernés, la Cour de cassation encadre strictement les motifs de refus à la disposition du directeur de publication. Cette solution renforce l’effectivité du droit de réponse et empêche qu’un média se retranche derrière une interprétation extensive de l’indivisibilité pour neutraliser une demande pourtant fondée.</w:t>
      </w:r>
    </w:p>
    <w:p w14:paraId="784E26DB" w14:textId="77777777" w:rsidR="003F06CA" w:rsidRDefault="003F06CA" w:rsidP="003F06CA">
      <w:pPr>
        <w:spacing w:after="0" w:line="271" w:lineRule="auto"/>
        <w:jc w:val="both"/>
        <w:rPr>
          <w:rFonts w:ascii="Calibri" w:hAnsi="Calibri" w:cs="Calibri"/>
        </w:rPr>
      </w:pPr>
    </w:p>
    <w:p w14:paraId="1EBCB802" w14:textId="58280C18" w:rsidR="00297506" w:rsidRDefault="003F06CA" w:rsidP="003F06CA">
      <w:pPr>
        <w:spacing w:after="0" w:line="271" w:lineRule="auto"/>
        <w:jc w:val="both"/>
        <w:rPr>
          <w:rFonts w:ascii="Calibri" w:hAnsi="Calibri" w:cs="Calibri"/>
          <w:b/>
          <w:bCs/>
        </w:rPr>
      </w:pPr>
      <w:r w:rsidRPr="003F06CA">
        <w:rPr>
          <w:rFonts w:ascii="Calibri" w:hAnsi="Calibri" w:cs="Calibri"/>
          <w:b/>
          <w:bCs/>
        </w:rPr>
        <w:t>Une décision protectrice des droits de la personnalité face à la diffusion multiplateforme des contenus</w:t>
      </w:r>
    </w:p>
    <w:p w14:paraId="4E4819B8" w14:textId="77777777" w:rsidR="003F06CA" w:rsidRDefault="003F06CA" w:rsidP="00297506">
      <w:pPr>
        <w:spacing w:after="0" w:line="271" w:lineRule="auto"/>
        <w:jc w:val="both"/>
        <w:rPr>
          <w:rFonts w:ascii="Calibri" w:hAnsi="Calibri" w:cs="Calibri"/>
        </w:rPr>
      </w:pPr>
    </w:p>
    <w:p w14:paraId="4496810C" w14:textId="1FA2625F" w:rsidR="00297506" w:rsidRDefault="003F06CA" w:rsidP="003F06CA">
      <w:pPr>
        <w:spacing w:after="0" w:line="271" w:lineRule="auto"/>
        <w:jc w:val="both"/>
        <w:rPr>
          <w:rFonts w:ascii="Calibri" w:hAnsi="Calibri" w:cs="Calibri"/>
        </w:rPr>
      </w:pPr>
      <w:r w:rsidRPr="003F06CA">
        <w:rPr>
          <w:rFonts w:ascii="Calibri" w:hAnsi="Calibri" w:cs="Calibri"/>
        </w:rPr>
        <w:t xml:space="preserve">L’arrêt met en lumière les enjeux propres à la diffusion contemporaine de l’information, marquée par la rediffusion quasi systématique des programmes audiovisuels sur des supports numériques. Dans cet environnement, les atteintes potentielles à l’honneur et à la réputation </w:t>
      </w:r>
      <w:r w:rsidR="00DB4A4D">
        <w:rPr>
          <w:rFonts w:ascii="Calibri" w:hAnsi="Calibri" w:cs="Calibri"/>
        </w:rPr>
        <w:t>sont</w:t>
      </w:r>
      <w:r w:rsidRPr="003F06CA">
        <w:rPr>
          <w:rFonts w:ascii="Calibri" w:hAnsi="Calibri" w:cs="Calibri"/>
        </w:rPr>
        <w:t xml:space="preserve"> amplifiées par la permanence et l’accessibilité des contenus en ligne. La Cour adopte une position protectrice en imposant au juge du fond un contrôle rigoureux des conditions dans lesquelles un droit de réponse peut être refusé.</w:t>
      </w:r>
    </w:p>
    <w:p w14:paraId="4F7CA907" w14:textId="77777777" w:rsidR="003F06CA" w:rsidRDefault="003F06CA" w:rsidP="003F06CA">
      <w:pPr>
        <w:spacing w:after="0" w:line="271" w:lineRule="auto"/>
        <w:jc w:val="both"/>
        <w:rPr>
          <w:rFonts w:ascii="Calibri" w:hAnsi="Calibri" w:cs="Calibri"/>
        </w:rPr>
      </w:pPr>
    </w:p>
    <w:p w14:paraId="0B6F04E8" w14:textId="02C91A26" w:rsidR="00297506" w:rsidRDefault="00741172" w:rsidP="004632FE">
      <w:pPr>
        <w:spacing w:after="0" w:line="271" w:lineRule="auto"/>
        <w:jc w:val="both"/>
        <w:rPr>
          <w:rFonts w:ascii="Calibri" w:hAnsi="Calibri" w:cs="Calibri"/>
        </w:rPr>
        <w:sectPr w:rsidR="00297506" w:rsidSect="00297506">
          <w:type w:val="continuous"/>
          <w:pgSz w:w="11906" w:h="16838"/>
          <w:pgMar w:top="1417" w:right="1417" w:bottom="1417" w:left="1417" w:header="708" w:footer="708" w:gutter="0"/>
          <w:cols w:num="2" w:space="708"/>
          <w:docGrid w:linePitch="360"/>
        </w:sectPr>
      </w:pPr>
      <w:r w:rsidRPr="00741172">
        <w:rPr>
          <w:rFonts w:ascii="Calibri" w:hAnsi="Calibri" w:cs="Calibri"/>
        </w:rPr>
        <w:t xml:space="preserve">En exigeant une analyse individualisée de chaque demandeur et de la corrélation de la réponse avec le contenu diffusé, la </w:t>
      </w:r>
      <w:r>
        <w:rPr>
          <w:rFonts w:ascii="Calibri" w:hAnsi="Calibri" w:cs="Calibri"/>
        </w:rPr>
        <w:t>Haute juridiction</w:t>
      </w:r>
      <w:r w:rsidRPr="00741172">
        <w:rPr>
          <w:rFonts w:ascii="Calibri" w:hAnsi="Calibri" w:cs="Calibri"/>
        </w:rPr>
        <w:t xml:space="preserve"> contribue à renforcer la sécurité juridique des personnes mises en cause. La décision illustre ainsi une évolution maîtrisée du droit des médias, fidèle à l’esprit des textes fondateurs tout en tenant compte des spécificités de la communication audiovisuelle et numérique </w:t>
      </w:r>
      <w:r>
        <w:rPr>
          <w:rFonts w:ascii="Calibri" w:hAnsi="Calibri" w:cs="Calibri"/>
        </w:rPr>
        <w:t>moderne</w:t>
      </w:r>
      <w:r w:rsidRPr="00741172">
        <w:rPr>
          <w:rFonts w:ascii="Calibri" w:hAnsi="Calibri" w:cs="Calibri"/>
        </w:rPr>
        <w:t>.</w:t>
      </w:r>
    </w:p>
    <w:p w14:paraId="25C1ADF3" w14:textId="77777777" w:rsidR="00297506" w:rsidRDefault="00297506" w:rsidP="00297506">
      <w:pPr>
        <w:spacing w:after="0" w:line="271" w:lineRule="auto"/>
        <w:rPr>
          <w:rFonts w:ascii="Calibri" w:hAnsi="Calibri" w:cs="Calibri"/>
        </w:rPr>
      </w:pPr>
    </w:p>
    <w:p w14:paraId="34078DE5" w14:textId="77777777" w:rsidR="002D2FB1" w:rsidRDefault="002D2FB1" w:rsidP="00297506">
      <w:pPr>
        <w:spacing w:after="0" w:line="271" w:lineRule="auto"/>
        <w:rPr>
          <w:rFonts w:ascii="Calibri" w:hAnsi="Calibri" w:cs="Calibri"/>
        </w:rPr>
      </w:pPr>
    </w:p>
    <w:p w14:paraId="195A7272" w14:textId="5F33F0EB" w:rsidR="002D2FB1" w:rsidRPr="002D2FB1" w:rsidRDefault="002D2FB1" w:rsidP="002D2FB1">
      <w:pPr>
        <w:spacing w:after="0" w:line="271" w:lineRule="auto"/>
        <w:rPr>
          <w:rFonts w:ascii="Calibri" w:hAnsi="Calibri" w:cs="Calibri"/>
          <w:b/>
          <w:bCs/>
        </w:rPr>
      </w:pPr>
      <w:r w:rsidRPr="002D2FB1">
        <w:rPr>
          <w:rFonts w:ascii="Calibri" w:hAnsi="Calibri" w:cs="Calibri"/>
          <w:b/>
          <w:bCs/>
        </w:rPr>
        <w:lastRenderedPageBreak/>
        <w:t>ARRÊT :</w:t>
      </w:r>
    </w:p>
    <w:p w14:paraId="4BEDA4F9" w14:textId="77777777" w:rsidR="002D2FB1" w:rsidRDefault="002D2FB1" w:rsidP="002D2FB1">
      <w:pPr>
        <w:spacing w:after="0" w:line="271" w:lineRule="auto"/>
        <w:rPr>
          <w:rFonts w:ascii="Calibri" w:hAnsi="Calibri" w:cs="Calibri"/>
        </w:rPr>
      </w:pPr>
    </w:p>
    <w:p w14:paraId="269ECC31" w14:textId="5E8B21FC" w:rsidR="002D2FB1" w:rsidRDefault="002D2FB1" w:rsidP="002D2FB1">
      <w:pPr>
        <w:spacing w:after="0" w:line="271" w:lineRule="auto"/>
        <w:rPr>
          <w:rFonts w:ascii="Calibri" w:hAnsi="Calibri" w:cs="Calibri"/>
        </w:rPr>
      </w:pPr>
      <w:r w:rsidRPr="002D2FB1">
        <w:rPr>
          <w:rFonts w:ascii="Calibri" w:hAnsi="Calibri" w:cs="Calibri"/>
        </w:rPr>
        <w:t>(…)</w:t>
      </w:r>
    </w:p>
    <w:p w14:paraId="3295AF10" w14:textId="77777777" w:rsidR="002D2FB1" w:rsidRDefault="002D2FB1" w:rsidP="002D2FB1">
      <w:pPr>
        <w:spacing w:after="0" w:line="271" w:lineRule="auto"/>
        <w:rPr>
          <w:rFonts w:ascii="Calibri" w:hAnsi="Calibri" w:cs="Calibri"/>
        </w:rPr>
      </w:pPr>
    </w:p>
    <w:p w14:paraId="5BDA8E63" w14:textId="77777777" w:rsidR="002D2FB1" w:rsidRDefault="002D2FB1" w:rsidP="002D2FB1">
      <w:pPr>
        <w:spacing w:after="0" w:line="271" w:lineRule="auto"/>
        <w:rPr>
          <w:rFonts w:ascii="Calibri" w:hAnsi="Calibri" w:cs="Calibri"/>
        </w:rPr>
        <w:sectPr w:rsidR="002D2FB1" w:rsidSect="00297506">
          <w:type w:val="continuous"/>
          <w:pgSz w:w="11906" w:h="16838"/>
          <w:pgMar w:top="1417" w:right="1417" w:bottom="1417" w:left="1417" w:header="708" w:footer="708" w:gutter="0"/>
          <w:cols w:space="708"/>
          <w:docGrid w:linePitch="360"/>
        </w:sectPr>
      </w:pPr>
    </w:p>
    <w:p w14:paraId="67A5B193" w14:textId="77777777" w:rsidR="002D2FB1" w:rsidRDefault="002D2FB1" w:rsidP="002D2FB1">
      <w:pPr>
        <w:spacing w:after="0" w:line="271" w:lineRule="auto"/>
        <w:jc w:val="both"/>
        <w:rPr>
          <w:rFonts w:ascii="Calibri" w:hAnsi="Calibri" w:cs="Calibri"/>
        </w:rPr>
      </w:pPr>
      <w:r w:rsidRPr="002D2FB1">
        <w:rPr>
          <w:rFonts w:ascii="Calibri" w:hAnsi="Calibri" w:cs="Calibri"/>
        </w:rPr>
        <w:t>Vu les articles 6, alinéa 1, de la loi du 29 juillet 1982, 13 de la loi du 29 juillet 1881 et 6, IV, de la LCEN, précités :</w:t>
      </w:r>
    </w:p>
    <w:p w14:paraId="641C1D6F" w14:textId="77777777" w:rsidR="002D2FB1" w:rsidRDefault="002D2FB1" w:rsidP="002D2FB1">
      <w:pPr>
        <w:spacing w:after="0" w:line="271" w:lineRule="auto"/>
        <w:jc w:val="both"/>
        <w:rPr>
          <w:rFonts w:ascii="Calibri" w:hAnsi="Calibri" w:cs="Calibri"/>
        </w:rPr>
      </w:pPr>
      <w:r w:rsidRPr="002D2FB1">
        <w:rPr>
          <w:rFonts w:ascii="Calibri" w:hAnsi="Calibri" w:cs="Calibri"/>
        </w:rPr>
        <w:br/>
        <w:t>9. Aux termes du premier de ces textes, toute personne physique ou morale dispose d'un droit de réponse dans le cas où les imputations susceptibles de porter atteinte à son honneur ou à sa réputation ont été diffusées dans le cadre d'une activité de communication audiovisuelle.</w:t>
      </w:r>
      <w:r w:rsidRPr="002D2FB1">
        <w:rPr>
          <w:rFonts w:ascii="Calibri" w:hAnsi="Calibri" w:cs="Calibri"/>
        </w:rPr>
        <w:br/>
      </w:r>
      <w:r w:rsidRPr="002D2FB1">
        <w:rPr>
          <w:rFonts w:ascii="Calibri" w:hAnsi="Calibri" w:cs="Calibri"/>
        </w:rPr>
        <w:br/>
        <w:t>10. Selon les deuxième et troisième, toute personne nommée ou désignée, respectivement, dans un journal ou écrit périodique ou bien dans un service de communication au public en ligne dispose d'un droit de réponse.</w:t>
      </w:r>
    </w:p>
    <w:p w14:paraId="2C309CDA" w14:textId="3ED28FDA" w:rsidR="002D2FB1" w:rsidRDefault="002D2FB1" w:rsidP="002D2FB1">
      <w:pPr>
        <w:spacing w:after="0" w:line="271" w:lineRule="auto"/>
        <w:jc w:val="both"/>
        <w:rPr>
          <w:rFonts w:ascii="Calibri" w:hAnsi="Calibri" w:cs="Calibri"/>
        </w:rPr>
      </w:pPr>
      <w:r w:rsidRPr="002D2FB1">
        <w:rPr>
          <w:rFonts w:ascii="Calibri" w:hAnsi="Calibri" w:cs="Calibri"/>
        </w:rPr>
        <w:br/>
        <w:t xml:space="preserve">11. Le droit de réponse prévu par ces textes est général et absolu. Celui qui en use est seul juge de la teneur, de l'étendue, de l'utilité et de la forme de la réponse dont il requiert l'insertion et le refus d'insérer ne se justifie que si la réponse est contraire aux lois, aux bonnes </w:t>
      </w:r>
      <w:r w:rsidRPr="002D2FB1">
        <w:rPr>
          <w:rFonts w:ascii="Calibri" w:hAnsi="Calibri" w:cs="Calibri"/>
        </w:rPr>
        <w:t>mœurs</w:t>
      </w:r>
      <w:r w:rsidRPr="002D2FB1">
        <w:rPr>
          <w:rFonts w:ascii="Calibri" w:hAnsi="Calibri" w:cs="Calibri"/>
        </w:rPr>
        <w:t>, à l'intérêt légitime des tiers ou à l'honneur du journaliste ou encore dépourvue de corrélation, même partiellement, avec la publication en cause.</w:t>
      </w:r>
    </w:p>
    <w:p w14:paraId="6F4AD00F" w14:textId="5FFE256B" w:rsidR="002D2FB1" w:rsidRDefault="002D2FB1" w:rsidP="002D2FB1">
      <w:pPr>
        <w:spacing w:after="0" w:line="271" w:lineRule="auto"/>
        <w:jc w:val="both"/>
        <w:rPr>
          <w:rFonts w:ascii="Calibri" w:hAnsi="Calibri" w:cs="Calibri"/>
        </w:rPr>
      </w:pPr>
      <w:r w:rsidRPr="002D2FB1">
        <w:rPr>
          <w:rFonts w:ascii="Calibri" w:hAnsi="Calibri" w:cs="Calibri"/>
        </w:rPr>
        <w:br/>
        <w:t xml:space="preserve">12. Il s'en déduit que le principe d'indivisibilité </w:t>
      </w:r>
      <w:r w:rsidRPr="002D2FB1">
        <w:rPr>
          <w:rFonts w:ascii="Calibri" w:hAnsi="Calibri" w:cs="Calibri"/>
        </w:rPr>
        <w:t>du droit de réponse s'applique exclusivement au contenu de la réponse sollicitée, de sorte que, lorsqu'une demande d'exercice du droit de réponse est présentée par plusieurs personnes, le constat que l'une d'elles n'était pas visée dans la communication litigieuse ne suffit pas à justifier le refus de publication opposé aux autres demandeurs.</w:t>
      </w:r>
    </w:p>
    <w:p w14:paraId="3399CA2F" w14:textId="77777777" w:rsidR="002D2FB1" w:rsidRDefault="002D2FB1" w:rsidP="002D2FB1">
      <w:pPr>
        <w:spacing w:after="0" w:line="271" w:lineRule="auto"/>
        <w:jc w:val="both"/>
        <w:rPr>
          <w:rFonts w:ascii="Calibri" w:hAnsi="Calibri" w:cs="Calibri"/>
        </w:rPr>
      </w:pPr>
      <w:r w:rsidRPr="002D2FB1">
        <w:rPr>
          <w:rFonts w:ascii="Calibri" w:hAnsi="Calibri" w:cs="Calibri"/>
        </w:rPr>
        <w:br/>
        <w:t>13. Pour dire n'y avoir lieu à référé au titre des deux demandes d'insertion d'une réponse, après avoir constaté qu'à aucun moment, au cours de l'émission en cause, M. [C] [W] dit [P] [V] n'était visé en tant que personne physique, les arrêts se fondent sur l'absence d'une telle mise en cause et l'application du principe d'indivisibilité du droit de réponse, en présence de demandes d'insertion formées pour l'ensemble des demandeurs.</w:t>
      </w:r>
    </w:p>
    <w:p w14:paraId="6A95522A" w14:textId="2B7D8E73" w:rsidR="002D2FB1" w:rsidRDefault="002D2FB1" w:rsidP="002D2FB1">
      <w:pPr>
        <w:spacing w:after="0" w:line="271" w:lineRule="auto"/>
        <w:jc w:val="both"/>
        <w:rPr>
          <w:rFonts w:ascii="Calibri" w:hAnsi="Calibri" w:cs="Calibri"/>
        </w:rPr>
        <w:sectPr w:rsidR="002D2FB1" w:rsidSect="002D2FB1">
          <w:type w:val="continuous"/>
          <w:pgSz w:w="11906" w:h="16838"/>
          <w:pgMar w:top="1417" w:right="1417" w:bottom="1417" w:left="1417" w:header="708" w:footer="708" w:gutter="0"/>
          <w:cols w:num="2" w:space="708"/>
          <w:docGrid w:linePitch="360"/>
        </w:sectPr>
      </w:pPr>
      <w:r w:rsidRPr="002D2FB1">
        <w:rPr>
          <w:rFonts w:ascii="Calibri" w:hAnsi="Calibri" w:cs="Calibri"/>
        </w:rPr>
        <w:br/>
        <w:t>14. En se déterminant ainsi, sans rechercher si la réponse, en ce qu'elle était demandée par M. [J] [W] et la société 1979 média, était dépourvue, même partiellement, de corrélation avec l'émission diffusée par France 2, et si la réponse ne pouvait pas être publiée telle quelle, uniquement en leurs noms, la cour d'appel n'a pas donné de base légale à ses décisions.</w:t>
      </w:r>
    </w:p>
    <w:p w14:paraId="438F9D30" w14:textId="77777777" w:rsidR="002D2FB1" w:rsidRDefault="002D2FB1" w:rsidP="002D2FB1">
      <w:pPr>
        <w:spacing w:after="0" w:line="271" w:lineRule="auto"/>
        <w:rPr>
          <w:rFonts w:ascii="Calibri" w:hAnsi="Calibri" w:cs="Calibri"/>
        </w:rPr>
      </w:pPr>
    </w:p>
    <w:p w14:paraId="215EF173" w14:textId="627A136F" w:rsidR="002D2FB1" w:rsidRPr="00297506" w:rsidRDefault="002D2FB1" w:rsidP="002D2FB1">
      <w:pPr>
        <w:spacing w:after="0" w:line="271" w:lineRule="auto"/>
        <w:rPr>
          <w:rFonts w:ascii="Calibri" w:hAnsi="Calibri" w:cs="Calibri"/>
        </w:rPr>
      </w:pPr>
      <w:r w:rsidRPr="002D2FB1">
        <w:rPr>
          <w:rFonts w:ascii="Calibri" w:hAnsi="Calibri" w:cs="Calibri"/>
        </w:rPr>
        <w:t>(…)</w:t>
      </w:r>
    </w:p>
    <w:sectPr w:rsidR="002D2FB1" w:rsidRPr="00297506" w:rsidSect="0029750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56"/>
    <w:rsid w:val="00005E43"/>
    <w:rsid w:val="0003260D"/>
    <w:rsid w:val="000F280A"/>
    <w:rsid w:val="00257152"/>
    <w:rsid w:val="00297506"/>
    <w:rsid w:val="002D2FB1"/>
    <w:rsid w:val="003F06CA"/>
    <w:rsid w:val="004560A5"/>
    <w:rsid w:val="004632FE"/>
    <w:rsid w:val="004B2B1B"/>
    <w:rsid w:val="00546FF3"/>
    <w:rsid w:val="00741172"/>
    <w:rsid w:val="00794E7C"/>
    <w:rsid w:val="00825362"/>
    <w:rsid w:val="008B5F7D"/>
    <w:rsid w:val="00AE58ED"/>
    <w:rsid w:val="00B46A3F"/>
    <w:rsid w:val="00CD4422"/>
    <w:rsid w:val="00DB4A4D"/>
    <w:rsid w:val="00E8405E"/>
    <w:rsid w:val="00E90A56"/>
    <w:rsid w:val="00FB5F8E"/>
    <w:rsid w:val="00FD7E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72DC"/>
  <w15:chartTrackingRefBased/>
  <w15:docId w15:val="{CC54F8A7-5CD4-4E05-B8BE-1F504A04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506"/>
  </w:style>
  <w:style w:type="paragraph" w:styleId="Titre1">
    <w:name w:val="heading 1"/>
    <w:basedOn w:val="Normal"/>
    <w:next w:val="Normal"/>
    <w:link w:val="Titre1Car"/>
    <w:uiPriority w:val="9"/>
    <w:qFormat/>
    <w:rsid w:val="00E90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0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0A5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0A5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0A5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0A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0A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0A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0A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0A5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0A5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0A5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0A5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0A5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0A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0A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0A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0A56"/>
    <w:rPr>
      <w:rFonts w:eastAsiaTheme="majorEastAsia" w:cstheme="majorBidi"/>
      <w:color w:val="272727" w:themeColor="text1" w:themeTint="D8"/>
    </w:rPr>
  </w:style>
  <w:style w:type="paragraph" w:styleId="Titre">
    <w:name w:val="Title"/>
    <w:basedOn w:val="Normal"/>
    <w:next w:val="Normal"/>
    <w:link w:val="TitreCar"/>
    <w:uiPriority w:val="10"/>
    <w:qFormat/>
    <w:rsid w:val="00E90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0A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0A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0A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0A56"/>
    <w:pPr>
      <w:spacing w:before="160"/>
      <w:jc w:val="center"/>
    </w:pPr>
    <w:rPr>
      <w:i/>
      <w:iCs/>
      <w:color w:val="404040" w:themeColor="text1" w:themeTint="BF"/>
    </w:rPr>
  </w:style>
  <w:style w:type="character" w:customStyle="1" w:styleId="CitationCar">
    <w:name w:val="Citation Car"/>
    <w:basedOn w:val="Policepardfaut"/>
    <w:link w:val="Citation"/>
    <w:uiPriority w:val="29"/>
    <w:rsid w:val="00E90A56"/>
    <w:rPr>
      <w:i/>
      <w:iCs/>
      <w:color w:val="404040" w:themeColor="text1" w:themeTint="BF"/>
    </w:rPr>
  </w:style>
  <w:style w:type="paragraph" w:styleId="Paragraphedeliste">
    <w:name w:val="List Paragraph"/>
    <w:basedOn w:val="Normal"/>
    <w:uiPriority w:val="34"/>
    <w:qFormat/>
    <w:rsid w:val="00E90A56"/>
    <w:pPr>
      <w:ind w:left="720"/>
      <w:contextualSpacing/>
    </w:pPr>
  </w:style>
  <w:style w:type="character" w:styleId="Accentuationintense">
    <w:name w:val="Intense Emphasis"/>
    <w:basedOn w:val="Policepardfaut"/>
    <w:uiPriority w:val="21"/>
    <w:qFormat/>
    <w:rsid w:val="00E90A56"/>
    <w:rPr>
      <w:i/>
      <w:iCs/>
      <w:color w:val="0F4761" w:themeColor="accent1" w:themeShade="BF"/>
    </w:rPr>
  </w:style>
  <w:style w:type="paragraph" w:styleId="Citationintense">
    <w:name w:val="Intense Quote"/>
    <w:basedOn w:val="Normal"/>
    <w:next w:val="Normal"/>
    <w:link w:val="CitationintenseCar"/>
    <w:uiPriority w:val="30"/>
    <w:qFormat/>
    <w:rsid w:val="00E90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0A56"/>
    <w:rPr>
      <w:i/>
      <w:iCs/>
      <w:color w:val="0F4761" w:themeColor="accent1" w:themeShade="BF"/>
    </w:rPr>
  </w:style>
  <w:style w:type="character" w:styleId="Rfrenceintense">
    <w:name w:val="Intense Reference"/>
    <w:basedOn w:val="Policepardfaut"/>
    <w:uiPriority w:val="32"/>
    <w:qFormat/>
    <w:rsid w:val="00E90A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F5E2-79E6-4CE9-969E-F0EED976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1348</Words>
  <Characters>7419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Ines</dc:creator>
  <cp:keywords/>
  <dc:description/>
  <cp:lastModifiedBy>FERHAT Ines</cp:lastModifiedBy>
  <cp:revision>6</cp:revision>
  <dcterms:created xsi:type="dcterms:W3CDTF">2026-01-09T16:38:00Z</dcterms:created>
  <dcterms:modified xsi:type="dcterms:W3CDTF">2026-01-12T19:59:00Z</dcterms:modified>
</cp:coreProperties>
</file>