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A38D6" w14:textId="77777777" w:rsidR="00460A5B" w:rsidRPr="008F764B" w:rsidRDefault="00460A5B" w:rsidP="00460A5B">
      <w:pPr>
        <w:autoSpaceDE w:val="0"/>
        <w:autoSpaceDN w:val="0"/>
        <w:adjustRightInd w:val="0"/>
        <w:spacing w:after="0" w:line="240" w:lineRule="auto"/>
        <w:jc w:val="center"/>
        <w:rPr>
          <w:rFonts w:cs="Bodoni 72"/>
          <w:b/>
          <w:bCs/>
          <w:color w:val="000000"/>
          <w:kern w:val="0"/>
          <w:sz w:val="32"/>
          <w:szCs w:val="32"/>
        </w:rPr>
      </w:pPr>
      <w:r w:rsidRPr="008F764B">
        <w:rPr>
          <w:rFonts w:cs="Bodoni 72"/>
          <w:b/>
          <w:bCs/>
          <w:color w:val="000000"/>
          <w:kern w:val="0"/>
          <w:sz w:val="32"/>
          <w:szCs w:val="32"/>
        </w:rPr>
        <w:t>Le « contrat 360 » en droit de la musique : anatomie d'un mythe juridique</w:t>
      </w:r>
    </w:p>
    <w:p w14:paraId="2A0315F4" w14:textId="77777777" w:rsidR="00460A5B" w:rsidRPr="008F764B" w:rsidRDefault="00460A5B" w:rsidP="00460A5B">
      <w:pPr>
        <w:autoSpaceDE w:val="0"/>
        <w:autoSpaceDN w:val="0"/>
        <w:adjustRightInd w:val="0"/>
        <w:spacing w:after="0" w:line="240" w:lineRule="auto"/>
        <w:jc w:val="both"/>
        <w:rPr>
          <w:rFonts w:cs="Bodoni 72"/>
          <w:color w:val="000000"/>
          <w:kern w:val="0"/>
          <w:sz w:val="22"/>
          <w:szCs w:val="22"/>
        </w:rPr>
      </w:pPr>
    </w:p>
    <w:p w14:paraId="536DEB8F" w14:textId="0DF1D66E" w:rsidR="00460A5B" w:rsidRPr="002B0052" w:rsidRDefault="00460A5B" w:rsidP="00460A5B">
      <w:pPr>
        <w:autoSpaceDE w:val="0"/>
        <w:autoSpaceDN w:val="0"/>
        <w:adjustRightInd w:val="0"/>
        <w:spacing w:after="0" w:line="240" w:lineRule="auto"/>
        <w:jc w:val="center"/>
        <w:rPr>
          <w:rFonts w:cs="Bodoni 72"/>
          <w:color w:val="000000"/>
          <w:kern w:val="0"/>
          <w:sz w:val="21"/>
          <w:szCs w:val="21"/>
        </w:rPr>
      </w:pPr>
      <w:r w:rsidRPr="002B0052">
        <w:rPr>
          <w:rFonts w:cs="Bodoni 72"/>
          <w:color w:val="000000"/>
          <w:kern w:val="0"/>
          <w:sz w:val="21"/>
          <w:szCs w:val="21"/>
        </w:rPr>
        <w:t xml:space="preserve">Droit de la musique – </w:t>
      </w:r>
      <w:r w:rsidR="00E83554" w:rsidRPr="002B0052">
        <w:rPr>
          <w:rFonts w:cs="Bodoni 72"/>
          <w:color w:val="000000"/>
          <w:kern w:val="0"/>
          <w:sz w:val="21"/>
          <w:szCs w:val="21"/>
        </w:rPr>
        <w:t xml:space="preserve">contrat 360 </w:t>
      </w:r>
      <w:r w:rsidR="00E83554">
        <w:rPr>
          <w:rFonts w:cs="Bodoni 72"/>
          <w:color w:val="000000"/>
          <w:kern w:val="0"/>
          <w:sz w:val="21"/>
          <w:szCs w:val="21"/>
        </w:rPr>
        <w:t xml:space="preserve">- </w:t>
      </w:r>
      <w:r w:rsidRPr="002B0052">
        <w:rPr>
          <w:rFonts w:cs="Bodoni 72"/>
          <w:color w:val="000000"/>
          <w:kern w:val="0"/>
          <w:sz w:val="21"/>
          <w:szCs w:val="21"/>
        </w:rPr>
        <w:t xml:space="preserve">production phonographique – édition musicale – industrie musicale </w:t>
      </w:r>
    </w:p>
    <w:p w14:paraId="22072491" w14:textId="77777777" w:rsidR="00460A5B" w:rsidRPr="002B0052" w:rsidRDefault="00460A5B" w:rsidP="00460A5B">
      <w:pPr>
        <w:autoSpaceDE w:val="0"/>
        <w:autoSpaceDN w:val="0"/>
        <w:adjustRightInd w:val="0"/>
        <w:spacing w:after="0" w:line="240" w:lineRule="auto"/>
        <w:jc w:val="center"/>
        <w:rPr>
          <w:rFonts w:cs="Bodoni 72"/>
          <w:color w:val="000000"/>
          <w:kern w:val="0"/>
          <w:sz w:val="21"/>
          <w:szCs w:val="21"/>
        </w:rPr>
      </w:pPr>
    </w:p>
    <w:p w14:paraId="5F852278" w14:textId="53FB248F" w:rsidR="00460A5B" w:rsidRPr="002B0052" w:rsidRDefault="00E83554" w:rsidP="00460A5B">
      <w:pPr>
        <w:autoSpaceDE w:val="0"/>
        <w:autoSpaceDN w:val="0"/>
        <w:adjustRightInd w:val="0"/>
        <w:spacing w:after="0" w:line="240" w:lineRule="auto"/>
        <w:jc w:val="both"/>
        <w:rPr>
          <w:rFonts w:cs="Bodoni 72"/>
          <w:color w:val="000000"/>
          <w:kern w:val="0"/>
          <w:sz w:val="21"/>
          <w:szCs w:val="21"/>
        </w:rPr>
      </w:pPr>
      <w:r>
        <w:rPr>
          <w:rFonts w:cs="Bodoni 72"/>
          <w:color w:val="000000"/>
          <w:kern w:val="0"/>
          <w:sz w:val="21"/>
          <w:szCs w:val="21"/>
        </w:rPr>
        <w:t xml:space="preserve">Alors même que son existence juridique demeure incertaine, le « contrat 360 » s’est imposé dans l’industrie musicale comme une évidence. Il est présenté comme l’instrument par lequel les maisons de disques structurent l’exploitation globale dans la carrière d’un artiste. </w:t>
      </w:r>
      <w:r w:rsidR="00460A5B" w:rsidRPr="002B0052">
        <w:rPr>
          <w:rFonts w:cs="Bodoni 72"/>
          <w:color w:val="000000"/>
          <w:kern w:val="0"/>
          <w:sz w:val="21"/>
          <w:szCs w:val="21"/>
        </w:rPr>
        <w:t xml:space="preserve">Du streaming au spectacle vivant, en passant par le merchandising et l’image, il est fréquemment perçu comme permettant aux producteurs de contrôler l’ensemble des flux de revenus. Au regard de l’état du droit et des pratiques contractuelles, le contrat « 360 » apparaît plus comme une construction économique de plusieurs contrats distincts qu’une catégorie juridique autonome. </w:t>
      </w:r>
      <w:r w:rsidR="00460A5B" w:rsidRPr="002B0052">
        <w:rPr>
          <w:color w:val="000000"/>
          <w:sz w:val="21"/>
          <w:szCs w:val="21"/>
        </w:rPr>
        <w:t>Malgré l'absence de définition légale et ses contours plutôt vagues, cette notion demeure au cœur des discours des professionnels du secteur.</w:t>
      </w:r>
      <w:r w:rsidR="00460A5B" w:rsidRPr="002B0052">
        <w:rPr>
          <w:rFonts w:cs="Bodoni 72"/>
          <w:color w:val="000000"/>
          <w:kern w:val="0"/>
          <w:sz w:val="21"/>
          <w:szCs w:val="21"/>
        </w:rPr>
        <w:t xml:space="preserve"> </w:t>
      </w:r>
      <w:r w:rsidR="00460A5B" w:rsidRPr="002B0052">
        <w:rPr>
          <w:color w:val="000000"/>
          <w:sz w:val="21"/>
          <w:szCs w:val="21"/>
        </w:rPr>
        <w:t xml:space="preserve">Face à </w:t>
      </w:r>
      <w:r w:rsidR="00460A5B" w:rsidRPr="002B0052">
        <w:rPr>
          <w:rFonts w:cs="Bodoni 72"/>
          <w:color w:val="000000"/>
          <w:kern w:val="0"/>
          <w:sz w:val="21"/>
          <w:szCs w:val="21"/>
        </w:rPr>
        <w:t>l’actualité du droit de la musique</w:t>
      </w:r>
      <w:r w:rsidR="00460A5B" w:rsidRPr="002B0052">
        <w:rPr>
          <w:color w:val="000000"/>
          <w:sz w:val="21"/>
          <w:szCs w:val="21"/>
        </w:rPr>
        <w:t>, il semble important de s'interroger aujourd'hui, non pas sur l’émergence d’un tel contrat, mais sur la nécessité de clarifier sa portée et de déconstruire ce concept forgé par les usages de l’industrie.</w:t>
      </w:r>
    </w:p>
    <w:p w14:paraId="6EEC433F" w14:textId="77777777" w:rsidR="00460A5B" w:rsidRPr="008F764B" w:rsidRDefault="00460A5B" w:rsidP="00460A5B">
      <w:pPr>
        <w:autoSpaceDE w:val="0"/>
        <w:autoSpaceDN w:val="0"/>
        <w:adjustRightInd w:val="0"/>
        <w:spacing w:after="0" w:line="240" w:lineRule="auto"/>
        <w:jc w:val="center"/>
        <w:rPr>
          <w:rFonts w:cs="Bodoni 72"/>
          <w:color w:val="000000"/>
          <w:kern w:val="0"/>
          <w:sz w:val="22"/>
          <w:szCs w:val="22"/>
        </w:rPr>
      </w:pPr>
    </w:p>
    <w:p w14:paraId="1DF13424" w14:textId="77777777" w:rsidR="00460A5B" w:rsidRPr="00F47922" w:rsidRDefault="00460A5B" w:rsidP="00141E2D">
      <w:pPr>
        <w:jc w:val="both"/>
        <w:rPr>
          <w:rFonts w:asciiTheme="majorHAnsi" w:hAnsiTheme="majorHAnsi"/>
          <w:sz w:val="22"/>
          <w:szCs w:val="22"/>
        </w:rPr>
        <w:sectPr w:rsidR="00460A5B" w:rsidRPr="00F47922" w:rsidSect="000815AF">
          <w:footerReference w:type="default" r:id="rId8"/>
          <w:pgSz w:w="11906" w:h="16838"/>
          <w:pgMar w:top="1417" w:right="1417" w:bottom="1417" w:left="1417" w:header="708" w:footer="708" w:gutter="0"/>
          <w:cols w:space="708"/>
          <w:docGrid w:linePitch="360"/>
        </w:sectPr>
      </w:pPr>
    </w:p>
    <w:p w14:paraId="59388EAB" w14:textId="77777777" w:rsidR="00460A5B" w:rsidRPr="00F47922" w:rsidRDefault="00460A5B" w:rsidP="00460A5B">
      <w:pPr>
        <w:jc w:val="both"/>
        <w:rPr>
          <w:sz w:val="22"/>
          <w:szCs w:val="22"/>
        </w:rPr>
      </w:pPr>
      <w:r w:rsidRPr="00F47922">
        <w:rPr>
          <w:b/>
          <w:bCs/>
        </w:rPr>
        <w:t>NOTE </w:t>
      </w:r>
      <w:r w:rsidRPr="00F47922">
        <w:rPr>
          <w:sz w:val="22"/>
          <w:szCs w:val="22"/>
        </w:rPr>
        <w:t xml:space="preserve">: </w:t>
      </w:r>
    </w:p>
    <w:p w14:paraId="481421B8" w14:textId="03E6C597" w:rsidR="00460A5B" w:rsidRDefault="003A3B6C" w:rsidP="003A3B6C">
      <w:pPr>
        <w:autoSpaceDE w:val="0"/>
        <w:autoSpaceDN w:val="0"/>
        <w:adjustRightInd w:val="0"/>
        <w:spacing w:after="298" w:line="240" w:lineRule="auto"/>
        <w:jc w:val="both"/>
        <w:rPr>
          <w:rFonts w:cs="Bodoni 72"/>
          <w:b/>
          <w:bCs/>
          <w:color w:val="000000"/>
          <w:kern w:val="0"/>
        </w:rPr>
      </w:pPr>
      <w:r w:rsidRPr="008F764B">
        <w:rPr>
          <w:rFonts w:cs="Bodoni 72"/>
          <w:b/>
          <w:bCs/>
          <w:color w:val="000000"/>
          <w:kern w:val="0"/>
        </w:rPr>
        <w:t>I. Le mythe d’un contrat unique</w:t>
      </w:r>
    </w:p>
    <w:p w14:paraId="5D7BE521" w14:textId="16F4F73E" w:rsidR="003A3B6C" w:rsidRPr="002B0052" w:rsidRDefault="003A3B6C" w:rsidP="003A3B6C">
      <w:pPr>
        <w:autoSpaceDE w:val="0"/>
        <w:autoSpaceDN w:val="0"/>
        <w:adjustRightInd w:val="0"/>
        <w:spacing w:after="0" w:line="240" w:lineRule="auto"/>
        <w:jc w:val="both"/>
        <w:rPr>
          <w:rFonts w:cs="Bodoni 72"/>
          <w:color w:val="000000"/>
          <w:kern w:val="0"/>
          <w:sz w:val="21"/>
          <w:szCs w:val="21"/>
        </w:rPr>
      </w:pPr>
      <w:r w:rsidRPr="002B0052">
        <w:rPr>
          <w:rFonts w:cs="Bodoni 72"/>
          <w:color w:val="000000"/>
          <w:kern w:val="0"/>
          <w:sz w:val="21"/>
          <w:szCs w:val="21"/>
        </w:rPr>
        <w:t xml:space="preserve">Le Code de la propriété intellectuelle (dit CPI à présent) ne consacre aucune catégorie contractuelle correspondant au contrat dit « 360 ». L'expression se trouve être absente tant au sein des textes législatifs que des </w:t>
      </w:r>
      <w:r w:rsidR="00E83554">
        <w:rPr>
          <w:rFonts w:cs="Bodoni 72"/>
          <w:color w:val="000000"/>
          <w:kern w:val="0"/>
          <w:sz w:val="21"/>
          <w:szCs w:val="21"/>
        </w:rPr>
        <w:t xml:space="preserve">précédents </w:t>
      </w:r>
      <w:r w:rsidRPr="002B0052">
        <w:rPr>
          <w:rFonts w:cs="Bodoni 72"/>
          <w:color w:val="000000"/>
          <w:kern w:val="0"/>
          <w:sz w:val="21"/>
          <w:szCs w:val="21"/>
        </w:rPr>
        <w:t>jurisprudentie</w:t>
      </w:r>
      <w:r w:rsidR="00E83554">
        <w:rPr>
          <w:rFonts w:cs="Bodoni 72"/>
          <w:color w:val="000000"/>
          <w:kern w:val="0"/>
          <w:sz w:val="21"/>
          <w:szCs w:val="21"/>
        </w:rPr>
        <w:t>ls</w:t>
      </w:r>
      <w:r w:rsidRPr="002B0052">
        <w:rPr>
          <w:rFonts w:cs="Bodoni 72"/>
          <w:color w:val="000000"/>
          <w:kern w:val="0"/>
          <w:sz w:val="21"/>
          <w:szCs w:val="21"/>
        </w:rPr>
        <w:t xml:space="preserve">, permettant de témoigner de son origine strictement économique. </w:t>
      </w:r>
      <w:r w:rsidR="00E83554">
        <w:rPr>
          <w:rFonts w:cs="Bodoni 72"/>
          <w:color w:val="000000"/>
          <w:kern w:val="0"/>
          <w:sz w:val="21"/>
          <w:szCs w:val="21"/>
        </w:rPr>
        <w:t>Pour rappel, l</w:t>
      </w:r>
      <w:r w:rsidRPr="002B0052">
        <w:rPr>
          <w:rFonts w:cs="Bodoni 72"/>
          <w:color w:val="000000"/>
          <w:kern w:val="0"/>
          <w:sz w:val="21"/>
          <w:szCs w:val="21"/>
        </w:rPr>
        <w:t xml:space="preserve">e droit de la musique demeure structuré autour de contrats nommés où chacun est attaché à un objet précis : contrat d'édition musicale (art. L. 132-1 CPI), contrat de production phonographique (art. L. 212-3 CPI), contrat de spectacle vivant ou accords relatifs à l'exploitation de l’image. Cette segmentation n'est pas le fruit du hasard puisqu’elle découle d'un choix délibéré du législateur visant à protéger l'auteur et l’artiste-interprète souvent insuffisamment informés. L'article L. 131-1 du CPI prohibe expressément la cession globale des œuvres futures en imposant que chaque cession de droits patrimoniaux mentionne explicitement les modes d'exploitation autorisés, tandis que l'article L. 131-3 impose quant à lui, le principe de spécialité des cessions : tout transfert de droits doit préciser les modes d'exploitation cédés, leur étendue territoriale, leur durée. Ces dispositions d'ordre public font structurellement obstacle à l'existence d'un « contrat unique » permettant au producteur de s'approprier indifféremment </w:t>
      </w:r>
      <w:r w:rsidRPr="002B0052">
        <w:rPr>
          <w:rFonts w:cs="Bodoni 72"/>
          <w:color w:val="000000"/>
          <w:kern w:val="0"/>
          <w:sz w:val="21"/>
          <w:szCs w:val="21"/>
        </w:rPr>
        <w:t>l'ensemble des droits patrimoniaux de l’artiste.</w:t>
      </w:r>
    </w:p>
    <w:p w14:paraId="223F0613" w14:textId="2F64CA46" w:rsidR="003A3B6C" w:rsidRPr="002B0052" w:rsidRDefault="003A3B6C" w:rsidP="003A3B6C">
      <w:pPr>
        <w:autoSpaceDE w:val="0"/>
        <w:autoSpaceDN w:val="0"/>
        <w:adjustRightInd w:val="0"/>
        <w:spacing w:after="0" w:line="240" w:lineRule="auto"/>
        <w:jc w:val="both"/>
        <w:rPr>
          <w:rFonts w:cs="Bodoni 72"/>
          <w:color w:val="000000"/>
          <w:kern w:val="0"/>
          <w:sz w:val="21"/>
          <w:szCs w:val="21"/>
        </w:rPr>
      </w:pPr>
      <w:r w:rsidRPr="002B0052">
        <w:rPr>
          <w:rFonts w:cs="Bodoni 72"/>
          <w:color w:val="000000"/>
          <w:kern w:val="0"/>
          <w:sz w:val="21"/>
          <w:szCs w:val="21"/>
        </w:rPr>
        <w:t xml:space="preserve">La diversité des régimes juridiques applicables rend impossible également toute unification contractuelle. </w:t>
      </w:r>
      <w:r w:rsidR="003E6045">
        <w:rPr>
          <w:rFonts w:cs="Bodoni 72"/>
          <w:color w:val="000000"/>
          <w:kern w:val="0"/>
          <w:sz w:val="21"/>
          <w:szCs w:val="21"/>
        </w:rPr>
        <w:t xml:space="preserve">Chaque activité </w:t>
      </w:r>
      <w:proofErr w:type="gramStart"/>
      <w:r w:rsidR="003E6045">
        <w:rPr>
          <w:rFonts w:cs="Bodoni 72"/>
          <w:color w:val="000000"/>
          <w:kern w:val="0"/>
          <w:sz w:val="21"/>
          <w:szCs w:val="21"/>
        </w:rPr>
        <w:t>réponds</w:t>
      </w:r>
      <w:proofErr w:type="gramEnd"/>
      <w:r w:rsidR="003E6045">
        <w:rPr>
          <w:rFonts w:cs="Bodoni 72"/>
          <w:color w:val="000000"/>
          <w:kern w:val="0"/>
          <w:sz w:val="21"/>
          <w:szCs w:val="21"/>
        </w:rPr>
        <w:t xml:space="preserve"> à son propre corpus de règles : l</w:t>
      </w:r>
      <w:r w:rsidRPr="002B0052">
        <w:rPr>
          <w:rFonts w:cs="Bodoni 72"/>
          <w:color w:val="000000"/>
          <w:kern w:val="0"/>
          <w:sz w:val="21"/>
          <w:szCs w:val="21"/>
        </w:rPr>
        <w:t xml:space="preserve">a production phonographique relève du CPI et de la convention collective nationale de l'édition phonographique </w:t>
      </w:r>
      <w:r w:rsidR="003E6045">
        <w:rPr>
          <w:rFonts w:cs="Bodoni 72"/>
          <w:color w:val="000000"/>
          <w:kern w:val="0"/>
          <w:sz w:val="21"/>
          <w:szCs w:val="21"/>
        </w:rPr>
        <w:t xml:space="preserve">de </w:t>
      </w:r>
      <w:r w:rsidRPr="002B0052">
        <w:rPr>
          <w:rFonts w:cs="Bodoni 72"/>
          <w:color w:val="000000"/>
          <w:kern w:val="0"/>
          <w:sz w:val="21"/>
          <w:szCs w:val="21"/>
        </w:rPr>
        <w:t>2008</w:t>
      </w:r>
      <w:r w:rsidR="003E6045">
        <w:rPr>
          <w:rFonts w:cs="Bodoni 72"/>
          <w:color w:val="000000"/>
          <w:kern w:val="0"/>
          <w:sz w:val="21"/>
          <w:szCs w:val="21"/>
        </w:rPr>
        <w:t>, tandis que l</w:t>
      </w:r>
      <w:r w:rsidRPr="002B0052">
        <w:rPr>
          <w:rFonts w:cs="Bodoni 72"/>
          <w:color w:val="000000"/>
          <w:kern w:val="0"/>
          <w:sz w:val="21"/>
          <w:szCs w:val="21"/>
        </w:rPr>
        <w:t>e producteur de spectacles, lui, est soumis au droit du spectacle vivant et à la convention collective nationale</w:t>
      </w:r>
      <w:r w:rsidR="00E46CA4">
        <w:rPr>
          <w:rFonts w:cs="Bodoni 72"/>
          <w:color w:val="000000"/>
          <w:kern w:val="0"/>
          <w:sz w:val="21"/>
          <w:szCs w:val="21"/>
        </w:rPr>
        <w:t xml:space="preserve"> </w:t>
      </w:r>
      <w:r w:rsidRPr="002B0052">
        <w:rPr>
          <w:rFonts w:cs="Bodoni 72"/>
          <w:color w:val="000000"/>
          <w:kern w:val="0"/>
          <w:sz w:val="21"/>
          <w:szCs w:val="21"/>
        </w:rPr>
        <w:t xml:space="preserve">des entreprises artistiques et culturelles </w:t>
      </w:r>
      <w:r w:rsidR="003E6045">
        <w:rPr>
          <w:rFonts w:cs="Bodoni 72"/>
          <w:color w:val="000000"/>
          <w:kern w:val="0"/>
          <w:sz w:val="21"/>
          <w:szCs w:val="21"/>
        </w:rPr>
        <w:t xml:space="preserve">de </w:t>
      </w:r>
      <w:r w:rsidRPr="002B0052">
        <w:rPr>
          <w:rFonts w:cs="Bodoni 72"/>
          <w:color w:val="000000"/>
          <w:kern w:val="0"/>
          <w:sz w:val="21"/>
          <w:szCs w:val="21"/>
        </w:rPr>
        <w:t xml:space="preserve">1984. Si certains acteurs </w:t>
      </w:r>
      <w:r w:rsidR="003E6045">
        <w:rPr>
          <w:rFonts w:cs="Bodoni 72"/>
          <w:color w:val="000000"/>
          <w:kern w:val="0"/>
          <w:sz w:val="21"/>
          <w:szCs w:val="21"/>
        </w:rPr>
        <w:t xml:space="preserve">peuvent </w:t>
      </w:r>
      <w:r w:rsidRPr="002B0052">
        <w:rPr>
          <w:rFonts w:cs="Bodoni 72"/>
          <w:color w:val="000000"/>
          <w:kern w:val="0"/>
          <w:sz w:val="21"/>
          <w:szCs w:val="21"/>
        </w:rPr>
        <w:t>cumule</w:t>
      </w:r>
      <w:r w:rsidR="003E6045">
        <w:rPr>
          <w:rFonts w:cs="Bodoni 72"/>
          <w:color w:val="000000"/>
          <w:kern w:val="0"/>
          <w:sz w:val="21"/>
          <w:szCs w:val="21"/>
        </w:rPr>
        <w:t>r</w:t>
      </w:r>
      <w:r w:rsidRPr="002B0052">
        <w:rPr>
          <w:rFonts w:cs="Bodoni 72"/>
          <w:color w:val="000000"/>
          <w:kern w:val="0"/>
          <w:sz w:val="21"/>
          <w:szCs w:val="21"/>
        </w:rPr>
        <w:t xml:space="preserve"> plusieurs fonctions, cette concentration s'opère par le biais de groupes de sociétés toujours juridiquement distinctes</w:t>
      </w:r>
      <w:r w:rsidR="003E6045">
        <w:rPr>
          <w:rFonts w:cs="Bodoni 72"/>
          <w:color w:val="000000"/>
          <w:kern w:val="0"/>
          <w:sz w:val="21"/>
          <w:szCs w:val="21"/>
        </w:rPr>
        <w:t>, c</w:t>
      </w:r>
      <w:r w:rsidRPr="002B0052">
        <w:rPr>
          <w:rFonts w:cs="Bodoni 72"/>
          <w:color w:val="000000"/>
          <w:kern w:val="0"/>
          <w:sz w:val="21"/>
          <w:szCs w:val="21"/>
        </w:rPr>
        <w:t>hacune spécialisée dans un</w:t>
      </w:r>
      <w:r w:rsidR="003E6045">
        <w:rPr>
          <w:rFonts w:cs="Bodoni 72"/>
          <w:color w:val="000000"/>
          <w:kern w:val="0"/>
          <w:sz w:val="21"/>
          <w:szCs w:val="21"/>
        </w:rPr>
        <w:t>e branche</w:t>
      </w:r>
      <w:r w:rsidRPr="002B0052">
        <w:rPr>
          <w:rFonts w:cs="Bodoni 72"/>
          <w:color w:val="000000"/>
          <w:kern w:val="0"/>
          <w:sz w:val="21"/>
          <w:szCs w:val="21"/>
        </w:rPr>
        <w:t xml:space="preserve"> de l'exploitation. L'unité du </w:t>
      </w:r>
      <w:r w:rsidR="00592199">
        <w:rPr>
          <w:rFonts w:cs="Bodoni 72"/>
          <w:color w:val="000000"/>
          <w:kern w:val="0"/>
          <w:sz w:val="21"/>
          <w:szCs w:val="21"/>
        </w:rPr>
        <w:t xml:space="preserve">modèle </w:t>
      </w:r>
      <w:r w:rsidRPr="002B0052">
        <w:rPr>
          <w:rFonts w:cs="Bodoni 72"/>
          <w:color w:val="000000"/>
          <w:kern w:val="0"/>
          <w:sz w:val="21"/>
          <w:szCs w:val="21"/>
        </w:rPr>
        <w:t xml:space="preserve">« 360 » </w:t>
      </w:r>
      <w:r w:rsidR="00584A78">
        <w:rPr>
          <w:rFonts w:cs="Bodoni 72"/>
          <w:color w:val="000000"/>
          <w:kern w:val="0"/>
          <w:sz w:val="21"/>
          <w:szCs w:val="21"/>
        </w:rPr>
        <w:t xml:space="preserve">est </w:t>
      </w:r>
      <w:r w:rsidR="00592199">
        <w:rPr>
          <w:rFonts w:cs="Bodoni 72"/>
          <w:color w:val="000000"/>
          <w:kern w:val="0"/>
          <w:sz w:val="21"/>
          <w:szCs w:val="21"/>
        </w:rPr>
        <w:t>purement fonctionnelle</w:t>
      </w:r>
      <w:r w:rsidR="00584A78">
        <w:rPr>
          <w:rFonts w:cs="Bodoni 72"/>
          <w:color w:val="000000"/>
          <w:kern w:val="0"/>
          <w:sz w:val="21"/>
          <w:szCs w:val="21"/>
        </w:rPr>
        <w:t xml:space="preserve"> et s’articule autour d’un montage contractuel morcelé,</w:t>
      </w:r>
      <w:r w:rsidR="00592199">
        <w:rPr>
          <w:rFonts w:cs="Bodoni 72"/>
          <w:color w:val="000000"/>
          <w:kern w:val="0"/>
          <w:sz w:val="21"/>
          <w:szCs w:val="21"/>
        </w:rPr>
        <w:t xml:space="preserve"> </w:t>
      </w:r>
      <w:r w:rsidR="00584A78">
        <w:rPr>
          <w:rFonts w:cs="Bodoni 72"/>
          <w:color w:val="000000"/>
          <w:kern w:val="0"/>
          <w:sz w:val="21"/>
          <w:szCs w:val="21"/>
        </w:rPr>
        <w:t xml:space="preserve">sans pour autant constituer une unité juridique propre. </w:t>
      </w:r>
    </w:p>
    <w:p w14:paraId="4A54D45F" w14:textId="77777777" w:rsidR="003A3B6C" w:rsidRPr="003A3B6C" w:rsidRDefault="003A3B6C" w:rsidP="003A3B6C">
      <w:pPr>
        <w:autoSpaceDE w:val="0"/>
        <w:autoSpaceDN w:val="0"/>
        <w:adjustRightInd w:val="0"/>
        <w:spacing w:after="0" w:line="240" w:lineRule="auto"/>
        <w:jc w:val="both"/>
        <w:rPr>
          <w:rFonts w:cs="Bodoni 72"/>
          <w:color w:val="000000"/>
          <w:kern w:val="0"/>
          <w:sz w:val="22"/>
          <w:szCs w:val="22"/>
        </w:rPr>
      </w:pPr>
    </w:p>
    <w:p w14:paraId="5AF14844" w14:textId="77777777" w:rsidR="003A3B6C" w:rsidRPr="008F764B" w:rsidRDefault="003A3B6C" w:rsidP="003A3B6C">
      <w:pPr>
        <w:autoSpaceDE w:val="0"/>
        <w:autoSpaceDN w:val="0"/>
        <w:adjustRightInd w:val="0"/>
        <w:spacing w:after="0" w:line="240" w:lineRule="auto"/>
        <w:jc w:val="both"/>
        <w:rPr>
          <w:rFonts w:cs="Bodoni 72"/>
          <w:b/>
          <w:bCs/>
          <w:color w:val="000000"/>
          <w:kern w:val="0"/>
        </w:rPr>
      </w:pPr>
      <w:r w:rsidRPr="008F764B">
        <w:rPr>
          <w:rFonts w:cs="Bodoni 72"/>
          <w:b/>
          <w:bCs/>
          <w:color w:val="000000"/>
          <w:kern w:val="0"/>
        </w:rPr>
        <w:t>II. La logique économique du « 360 »</w:t>
      </w:r>
    </w:p>
    <w:p w14:paraId="756E35E9" w14:textId="77777777" w:rsidR="003A3B6C" w:rsidRPr="008F764B" w:rsidRDefault="003A3B6C" w:rsidP="003A3B6C">
      <w:pPr>
        <w:autoSpaceDE w:val="0"/>
        <w:autoSpaceDN w:val="0"/>
        <w:adjustRightInd w:val="0"/>
        <w:spacing w:after="0" w:line="240" w:lineRule="auto"/>
        <w:jc w:val="both"/>
        <w:rPr>
          <w:rFonts w:cs="Bodoni 72"/>
          <w:color w:val="000000"/>
          <w:kern w:val="0"/>
          <w:sz w:val="22"/>
          <w:szCs w:val="22"/>
        </w:rPr>
      </w:pPr>
    </w:p>
    <w:p w14:paraId="20172A5A" w14:textId="67849AFF" w:rsidR="003A3B6C" w:rsidRPr="002B0052" w:rsidRDefault="003A3B6C" w:rsidP="003A3B6C">
      <w:pPr>
        <w:autoSpaceDE w:val="0"/>
        <w:autoSpaceDN w:val="0"/>
        <w:adjustRightInd w:val="0"/>
        <w:spacing w:after="0" w:line="240" w:lineRule="auto"/>
        <w:jc w:val="both"/>
        <w:rPr>
          <w:rFonts w:cs="Bodoni 72"/>
          <w:color w:val="000000"/>
          <w:kern w:val="0"/>
          <w:sz w:val="21"/>
          <w:szCs w:val="21"/>
          <w:highlight w:val="yellow"/>
        </w:rPr>
      </w:pPr>
      <w:r w:rsidRPr="002B0052">
        <w:rPr>
          <w:rFonts w:cs="Bodoni 72"/>
          <w:color w:val="000000"/>
          <w:kern w:val="0"/>
          <w:sz w:val="21"/>
          <w:szCs w:val="21"/>
        </w:rPr>
        <w:t xml:space="preserve">L'usage du terme « contrat 360 » s'inscrit bel et bien dans une évolution économique du secteur musical. La baisse des revenus du phonogramme par la généralisation du streaming a contraint les producteurs à rechercher de nouveaux relais de rentabilité au-delà de l’enregistrement sonore lui-même. C’est un modèle qui ne rapporte qu'à très grande échelle selon les données et analyses issues des rapports de l’International </w:t>
      </w:r>
      <w:proofErr w:type="spellStart"/>
      <w:r w:rsidRPr="002B0052">
        <w:rPr>
          <w:rFonts w:cs="Bodoni 72"/>
          <w:color w:val="000000"/>
          <w:kern w:val="0"/>
          <w:sz w:val="21"/>
          <w:szCs w:val="21"/>
        </w:rPr>
        <w:lastRenderedPageBreak/>
        <w:t>Federation</w:t>
      </w:r>
      <w:proofErr w:type="spellEnd"/>
      <w:r w:rsidRPr="002B0052">
        <w:rPr>
          <w:rFonts w:cs="Bodoni 72"/>
          <w:color w:val="000000"/>
          <w:kern w:val="0"/>
          <w:sz w:val="21"/>
          <w:szCs w:val="21"/>
        </w:rPr>
        <w:t xml:space="preserve"> of the </w:t>
      </w:r>
      <w:proofErr w:type="spellStart"/>
      <w:r w:rsidRPr="002B0052">
        <w:rPr>
          <w:rFonts w:cs="Bodoni 72"/>
          <w:color w:val="000000"/>
          <w:kern w:val="0"/>
          <w:sz w:val="21"/>
          <w:szCs w:val="21"/>
        </w:rPr>
        <w:t>Phonographic</w:t>
      </w:r>
      <w:proofErr w:type="spellEnd"/>
      <w:r w:rsidRPr="002B0052">
        <w:rPr>
          <w:rFonts w:cs="Bodoni 72"/>
          <w:color w:val="000000"/>
          <w:kern w:val="0"/>
          <w:sz w:val="21"/>
          <w:szCs w:val="21"/>
        </w:rPr>
        <w:t xml:space="preserve"> </w:t>
      </w:r>
      <w:proofErr w:type="spellStart"/>
      <w:r w:rsidRPr="002B0052">
        <w:rPr>
          <w:rFonts w:cs="Bodoni 72"/>
          <w:color w:val="000000"/>
          <w:kern w:val="0"/>
          <w:sz w:val="21"/>
          <w:szCs w:val="21"/>
        </w:rPr>
        <w:t>Industry</w:t>
      </w:r>
      <w:proofErr w:type="spellEnd"/>
      <w:r w:rsidRPr="002B0052">
        <w:rPr>
          <w:rFonts w:cs="Bodoni 72"/>
          <w:color w:val="000000"/>
          <w:kern w:val="0"/>
          <w:sz w:val="21"/>
          <w:szCs w:val="21"/>
        </w:rPr>
        <w:t xml:space="preserve"> (IFPI) : là où le disque physique générait des marges importantes, le streaming rapporte en moyenne 0,003 à 0,005 euro par écoute. Dans ce contexte, l'exploitation du spectacle vivant, du merchandising et de l'image devient un moyen de mutualiser les risques et de compenser l’incertitude inhérente au succès commercial. </w:t>
      </w:r>
    </w:p>
    <w:p w14:paraId="33C0782B" w14:textId="3E6944E3" w:rsidR="003A3B6C" w:rsidRPr="002B0052" w:rsidRDefault="003A3B6C" w:rsidP="003A3B6C">
      <w:pPr>
        <w:autoSpaceDE w:val="0"/>
        <w:autoSpaceDN w:val="0"/>
        <w:adjustRightInd w:val="0"/>
        <w:spacing w:after="0" w:line="240" w:lineRule="auto"/>
        <w:jc w:val="both"/>
        <w:rPr>
          <w:rFonts w:cs="Bodoni 72"/>
          <w:color w:val="000000"/>
          <w:kern w:val="0"/>
          <w:sz w:val="21"/>
          <w:szCs w:val="21"/>
        </w:rPr>
      </w:pPr>
      <w:r w:rsidRPr="002B0052">
        <w:rPr>
          <w:rFonts w:cs="Bodoni 72"/>
          <w:color w:val="000000"/>
          <w:kern w:val="0"/>
          <w:sz w:val="21"/>
          <w:szCs w:val="21"/>
        </w:rPr>
        <w:t>Parallèlement, les modes de consommation de la musique se sont radicalement transformés. La réception d’un projet musical dépend désormais autant de la qualité artistique que de sa capacité à s'inscrire dans un écosystème cohérent, associant image, présence numérique et communication. L’artiste tend ainsi à devenir indissociable de son univers, dépassant l’enregistrement sonore pour englober une identité visuelle et narrative. Dans un contexte où l’industrie musicale évolue rapidement, cette transformation des usages permet ainsi de comprendre la légitimité pratique du « 360</w:t>
      </w:r>
      <w:r w:rsidR="003E6045">
        <w:rPr>
          <w:rFonts w:cs="Bodoni 72"/>
          <w:color w:val="000000"/>
          <w:kern w:val="0"/>
          <w:sz w:val="21"/>
          <w:szCs w:val="21"/>
        </w:rPr>
        <w:t> »</w:t>
      </w:r>
      <w:r w:rsidRPr="002B0052">
        <w:rPr>
          <w:rFonts w:cs="Bodoni 72"/>
          <w:color w:val="000000"/>
          <w:kern w:val="0"/>
          <w:sz w:val="21"/>
          <w:szCs w:val="21"/>
        </w:rPr>
        <w:t xml:space="preserve"> qui appelle à une adaptation progressive d’un cadre juridique.</w:t>
      </w:r>
    </w:p>
    <w:p w14:paraId="203FF84B" w14:textId="77777777" w:rsidR="003A3B6C" w:rsidRDefault="003A3B6C" w:rsidP="003A3B6C">
      <w:pPr>
        <w:autoSpaceDE w:val="0"/>
        <w:autoSpaceDN w:val="0"/>
        <w:adjustRightInd w:val="0"/>
        <w:spacing w:after="0" w:line="240" w:lineRule="auto"/>
        <w:jc w:val="both"/>
        <w:rPr>
          <w:rFonts w:cs="Bodoni 72"/>
          <w:color w:val="000000"/>
          <w:kern w:val="0"/>
          <w:sz w:val="22"/>
          <w:szCs w:val="22"/>
        </w:rPr>
      </w:pPr>
    </w:p>
    <w:p w14:paraId="3B7C8D94" w14:textId="77777777" w:rsidR="003A3B6C" w:rsidRPr="00144F52" w:rsidRDefault="003A3B6C" w:rsidP="003A3B6C">
      <w:pPr>
        <w:autoSpaceDE w:val="0"/>
        <w:autoSpaceDN w:val="0"/>
        <w:adjustRightInd w:val="0"/>
        <w:spacing w:after="0" w:line="240" w:lineRule="auto"/>
        <w:jc w:val="both"/>
        <w:rPr>
          <w:rFonts w:cs="Bodoni 72"/>
          <w:b/>
          <w:bCs/>
          <w:color w:val="000000"/>
          <w:kern w:val="0"/>
        </w:rPr>
      </w:pPr>
      <w:r w:rsidRPr="00144F52">
        <w:rPr>
          <w:rFonts w:cs="Bodoni 72"/>
          <w:b/>
          <w:bCs/>
          <w:color w:val="000000"/>
          <w:kern w:val="0"/>
        </w:rPr>
        <w:t>III. Une architecture contractuelle fragmentée et strictement encadrée</w:t>
      </w:r>
    </w:p>
    <w:p w14:paraId="34504301" w14:textId="77777777" w:rsidR="003A3B6C" w:rsidRPr="00F35ED3" w:rsidRDefault="003A3B6C" w:rsidP="003A3B6C">
      <w:pPr>
        <w:autoSpaceDE w:val="0"/>
        <w:autoSpaceDN w:val="0"/>
        <w:adjustRightInd w:val="0"/>
        <w:spacing w:after="0" w:line="240" w:lineRule="auto"/>
        <w:jc w:val="both"/>
        <w:rPr>
          <w:rFonts w:cs="Bodoni 72"/>
          <w:color w:val="000000"/>
          <w:kern w:val="0"/>
          <w:sz w:val="22"/>
          <w:szCs w:val="22"/>
        </w:rPr>
      </w:pPr>
    </w:p>
    <w:p w14:paraId="062747D9" w14:textId="4DA6C8AB" w:rsidR="003A3B6C" w:rsidRPr="002B0052" w:rsidRDefault="003A3B6C" w:rsidP="003A3B6C">
      <w:pPr>
        <w:autoSpaceDE w:val="0"/>
        <w:autoSpaceDN w:val="0"/>
        <w:adjustRightInd w:val="0"/>
        <w:spacing w:after="0" w:line="240" w:lineRule="auto"/>
        <w:jc w:val="both"/>
        <w:rPr>
          <w:color w:val="000000" w:themeColor="text1"/>
          <w:sz w:val="21"/>
          <w:szCs w:val="21"/>
        </w:rPr>
      </w:pPr>
      <w:r w:rsidRPr="002B0052">
        <w:rPr>
          <w:rFonts w:cs="Bodoni 72"/>
          <w:color w:val="000000"/>
          <w:kern w:val="0"/>
          <w:sz w:val="21"/>
          <w:szCs w:val="21"/>
        </w:rPr>
        <w:t xml:space="preserve">Par conséquent, la logique dite « 360 » se traduit non par un contrat unique mais par la conclusion d’une pluralité de contrats juridiquement distincts. Un même artiste peut ainsi être lié par différents contrats, fréquemment conclus au sein de groupes de sociétés juridiquement autonomes, chacune soumise à son propre régime juridique. À titre d’illustration, le groupe Wagram confirme cette structuration par la coexistence de sociétés distinctes. Wagram Stories, en tant que holding de tête, détient notamment Wagram Music (SAS) qui </w:t>
      </w:r>
      <w:r w:rsidRPr="002B0052">
        <w:rPr>
          <w:color w:val="000000"/>
          <w:sz w:val="21"/>
          <w:szCs w:val="21"/>
        </w:rPr>
        <w:t xml:space="preserve">agit comme un label indépendant exerçant des activités de production phonographique et participant à l’édition musicale, </w:t>
      </w:r>
      <w:r w:rsidRPr="002B0052">
        <w:rPr>
          <w:rFonts w:cs="Bodoni 72"/>
          <w:color w:val="000000"/>
          <w:kern w:val="0"/>
          <w:sz w:val="21"/>
          <w:szCs w:val="21"/>
        </w:rPr>
        <w:t xml:space="preserve">ainsi que Wagram Distribution (SAS) pour la distribution, aux côtés de sociétés spécifiquement dédiées au spectacle vivant. </w:t>
      </w:r>
      <w:r w:rsidRPr="002B0052">
        <w:rPr>
          <w:color w:val="000000" w:themeColor="text1"/>
          <w:sz w:val="21"/>
          <w:szCs w:val="21"/>
        </w:rPr>
        <w:t xml:space="preserve">Les activités de spectacle vivant sont soumises notamment </w:t>
      </w:r>
      <w:r w:rsidR="003E6045">
        <w:rPr>
          <w:color w:val="000000" w:themeColor="text1"/>
          <w:sz w:val="21"/>
          <w:szCs w:val="21"/>
        </w:rPr>
        <w:t xml:space="preserve">à </w:t>
      </w:r>
      <w:r w:rsidRPr="002B0052">
        <w:rPr>
          <w:color w:val="000000" w:themeColor="text1"/>
          <w:sz w:val="21"/>
          <w:szCs w:val="21"/>
        </w:rPr>
        <w:t>l’obtention d’une licence d’entrepreneur de spectacles qui rend incompatible l’exercice concomitant d’activités de production ou d’édition au sein d’une même entité.</w:t>
      </w:r>
    </w:p>
    <w:p w14:paraId="03E191F0" w14:textId="77777777" w:rsidR="002B0052" w:rsidRPr="002B0052" w:rsidRDefault="002B0052" w:rsidP="003A3B6C">
      <w:pPr>
        <w:autoSpaceDE w:val="0"/>
        <w:autoSpaceDN w:val="0"/>
        <w:adjustRightInd w:val="0"/>
        <w:spacing w:after="0" w:line="240" w:lineRule="auto"/>
        <w:jc w:val="both"/>
        <w:rPr>
          <w:rFonts w:cs="Bodoni 72"/>
          <w:color w:val="000000"/>
          <w:kern w:val="0"/>
          <w:sz w:val="21"/>
          <w:szCs w:val="21"/>
        </w:rPr>
      </w:pPr>
    </w:p>
    <w:p w14:paraId="2BFBF213" w14:textId="77777777" w:rsidR="003A3B6C" w:rsidRPr="002B0052" w:rsidRDefault="003A3B6C" w:rsidP="003A3B6C">
      <w:pPr>
        <w:autoSpaceDE w:val="0"/>
        <w:autoSpaceDN w:val="0"/>
        <w:adjustRightInd w:val="0"/>
        <w:spacing w:after="0" w:line="240" w:lineRule="auto"/>
        <w:jc w:val="both"/>
        <w:rPr>
          <w:rFonts w:cs="Bodoni 72"/>
          <w:color w:val="000000"/>
          <w:kern w:val="0"/>
          <w:sz w:val="21"/>
          <w:szCs w:val="21"/>
        </w:rPr>
      </w:pPr>
      <w:r w:rsidRPr="002B0052">
        <w:rPr>
          <w:rFonts w:cs="Bodoni 72"/>
          <w:color w:val="000000"/>
          <w:kern w:val="0"/>
          <w:sz w:val="21"/>
          <w:szCs w:val="21"/>
        </w:rPr>
        <w:t xml:space="preserve">De surcroît, l'exploitation de l'image de l'artiste constitue à cet égard une source majeure de confusion. Si l'utilisation de l'image dans le cadre de la promotion d'un enregistrement, d'un clip ou du merchandising peut être aménagée contractuellement, certaines exploitations relèvent du régime spécifique du mannequinat. L’article L. 7123-2 du Code du travail impose, lorsque l’exploitation de l’image constitue l’activité principale, le recours à une agence de mannequins agréée. Le producteur ne peut donc se substituer à ces acteurs réglementés mais peut seulement organiser, par le jeu des contrats, une répartition des revenus issus de ces exploitations. Par ailleurs, les dispositions protectrices du CPI évoquées auparavant s’appliquent strictement (art. L131-1 et L.131-3). L'encadrement jurisprudentiel du droit à l'image au visa de l’article 9 du Code civil, vient compléter ces verrous juridiques et rappelle que l’exploitation de l’image d’une personne suppose un consentement spécifique et distinct pour chaque utilisation envisagée, excluant toute cession générale ou indifférenciée (Cass. 1re civ., 10 mai 2005, n° 02-13.894). </w:t>
      </w:r>
    </w:p>
    <w:p w14:paraId="0C3BF596" w14:textId="77777777" w:rsidR="003A3B6C" w:rsidRPr="002B0052" w:rsidRDefault="003A3B6C" w:rsidP="003A3B6C">
      <w:pPr>
        <w:autoSpaceDE w:val="0"/>
        <w:autoSpaceDN w:val="0"/>
        <w:adjustRightInd w:val="0"/>
        <w:spacing w:after="0" w:line="240" w:lineRule="auto"/>
        <w:jc w:val="both"/>
        <w:rPr>
          <w:rFonts w:cs="Bodoni 72"/>
          <w:color w:val="000000"/>
          <w:kern w:val="0"/>
          <w:sz w:val="21"/>
          <w:szCs w:val="21"/>
        </w:rPr>
      </w:pPr>
    </w:p>
    <w:p w14:paraId="73492C31" w14:textId="656D26B8" w:rsidR="003A3B6C" w:rsidRPr="002B0052" w:rsidRDefault="003A3B6C" w:rsidP="003A3B6C">
      <w:pPr>
        <w:autoSpaceDE w:val="0"/>
        <w:autoSpaceDN w:val="0"/>
        <w:adjustRightInd w:val="0"/>
        <w:spacing w:after="0" w:line="240" w:lineRule="auto"/>
        <w:jc w:val="both"/>
        <w:rPr>
          <w:rFonts w:cs="Bodoni 72"/>
          <w:color w:val="000000"/>
          <w:kern w:val="0"/>
          <w:sz w:val="21"/>
          <w:szCs w:val="21"/>
        </w:rPr>
      </w:pPr>
      <w:r w:rsidRPr="002B0052">
        <w:rPr>
          <w:rFonts w:cs="Bodoni 72"/>
          <w:color w:val="000000"/>
          <w:kern w:val="0"/>
          <w:sz w:val="21"/>
          <w:szCs w:val="21"/>
        </w:rPr>
        <w:t xml:space="preserve">Dès lors, le droit positif impose au producteur de fragmenter son intervention et fait obstacle à toute appropriation globale de l’activité de l’artiste. Cette architecture contractuelle peut toutefois être maîtrisée par l’artiste lui-même. Juridiquement informé, il peut structurer l’exploitation de sa carrière en constituant sa propre holding, en contractualisant séparément chaque activité inversant ainsi la logique traditionnelle associée au « 360 ». En réalité, le « contrat 360 » ne saurait être appréhendé comme un nouveau type de contrat en droit de la musique. Il désigne avant tout une construction économique, strictement encadrés par le droit positif et ne peut être confondu avec l’instauration d’un monopole juridique du producteur. Dans un contexte de mutation numérique et de diversification des sources de revenus, l’enjeu aujourd’hui </w:t>
      </w:r>
      <w:r w:rsidR="001E22EF">
        <w:rPr>
          <w:rFonts w:cs="Bodoni 72"/>
          <w:color w:val="000000"/>
          <w:kern w:val="0"/>
          <w:sz w:val="21"/>
          <w:szCs w:val="21"/>
        </w:rPr>
        <w:t xml:space="preserve">au sein de la musique </w:t>
      </w:r>
      <w:r w:rsidRPr="002B0052">
        <w:rPr>
          <w:rFonts w:cs="Bodoni 72"/>
          <w:color w:val="000000"/>
          <w:kern w:val="0"/>
          <w:sz w:val="21"/>
          <w:szCs w:val="21"/>
        </w:rPr>
        <w:t xml:space="preserve">réside dans la clarification juridique des pratiques pour assurer une compréhension </w:t>
      </w:r>
      <w:r w:rsidR="003E6045">
        <w:rPr>
          <w:rFonts w:cs="Bodoni 72"/>
          <w:color w:val="000000"/>
          <w:kern w:val="0"/>
          <w:sz w:val="21"/>
          <w:szCs w:val="21"/>
        </w:rPr>
        <w:t>claire</w:t>
      </w:r>
      <w:r w:rsidRPr="002B0052">
        <w:rPr>
          <w:rFonts w:cs="Bodoni 72"/>
          <w:color w:val="000000"/>
          <w:kern w:val="0"/>
          <w:sz w:val="21"/>
          <w:szCs w:val="21"/>
        </w:rPr>
        <w:t xml:space="preserve"> des droits cédés par les artistes et </w:t>
      </w:r>
      <w:r w:rsidR="001E22EF">
        <w:rPr>
          <w:rFonts w:cs="Bodoni 72"/>
          <w:color w:val="000000"/>
          <w:kern w:val="0"/>
          <w:sz w:val="21"/>
          <w:szCs w:val="21"/>
        </w:rPr>
        <w:t xml:space="preserve">garantir </w:t>
      </w:r>
      <w:r w:rsidRPr="002B0052">
        <w:rPr>
          <w:rFonts w:cs="Bodoni 72"/>
          <w:color w:val="000000"/>
          <w:kern w:val="0"/>
          <w:sz w:val="21"/>
          <w:szCs w:val="21"/>
        </w:rPr>
        <w:t xml:space="preserve">une sécurité juridique dans la gestion de leur carrière. </w:t>
      </w:r>
    </w:p>
    <w:p w14:paraId="19C019D9" w14:textId="77777777" w:rsidR="003A3B6C" w:rsidRDefault="003A3B6C" w:rsidP="003A3B6C">
      <w:pPr>
        <w:autoSpaceDE w:val="0"/>
        <w:autoSpaceDN w:val="0"/>
        <w:adjustRightInd w:val="0"/>
        <w:spacing w:after="0" w:line="240" w:lineRule="auto"/>
        <w:jc w:val="both"/>
        <w:rPr>
          <w:rFonts w:cs="Bodoni 72"/>
          <w:color w:val="000000"/>
          <w:kern w:val="0"/>
          <w:sz w:val="22"/>
          <w:szCs w:val="22"/>
        </w:rPr>
      </w:pPr>
    </w:p>
    <w:p w14:paraId="14B85A70" w14:textId="69063A1F" w:rsidR="002B0052" w:rsidRPr="002B0052" w:rsidRDefault="002B0052" w:rsidP="002B0052">
      <w:pPr>
        <w:autoSpaceDE w:val="0"/>
        <w:autoSpaceDN w:val="0"/>
        <w:adjustRightInd w:val="0"/>
        <w:spacing w:after="0" w:line="240" w:lineRule="auto"/>
        <w:jc w:val="right"/>
        <w:rPr>
          <w:rFonts w:cs="Bodoni 72"/>
          <w:color w:val="000000"/>
          <w:kern w:val="0"/>
          <w:sz w:val="21"/>
          <w:szCs w:val="21"/>
        </w:rPr>
      </w:pPr>
      <w:r w:rsidRPr="002B0052">
        <w:rPr>
          <w:rFonts w:cs="Bodoni 72"/>
          <w:color w:val="000000"/>
          <w:kern w:val="0"/>
          <w:sz w:val="21"/>
          <w:szCs w:val="21"/>
        </w:rPr>
        <w:t>Julie Deichelbohrer</w:t>
      </w:r>
    </w:p>
    <w:p w14:paraId="3EF3FCF9" w14:textId="77777777" w:rsidR="002B0052" w:rsidRDefault="002B0052" w:rsidP="003A3B6C">
      <w:pPr>
        <w:autoSpaceDE w:val="0"/>
        <w:autoSpaceDN w:val="0"/>
        <w:adjustRightInd w:val="0"/>
        <w:spacing w:after="0" w:line="240" w:lineRule="auto"/>
        <w:jc w:val="both"/>
        <w:rPr>
          <w:rFonts w:cs="Bodoni 72"/>
          <w:color w:val="000000"/>
          <w:kern w:val="0"/>
          <w:sz w:val="22"/>
          <w:szCs w:val="22"/>
        </w:rPr>
      </w:pPr>
    </w:p>
    <w:p w14:paraId="456F7330" w14:textId="77777777" w:rsidR="002B0052" w:rsidRDefault="002B0052" w:rsidP="002B0052">
      <w:pPr>
        <w:autoSpaceDE w:val="0"/>
        <w:autoSpaceDN w:val="0"/>
        <w:adjustRightInd w:val="0"/>
        <w:spacing w:after="0" w:line="240" w:lineRule="auto"/>
        <w:rPr>
          <w:rFonts w:cs="Bodoni 72"/>
          <w:color w:val="000000"/>
          <w:kern w:val="0"/>
          <w:sz w:val="22"/>
          <w:szCs w:val="22"/>
        </w:rPr>
      </w:pPr>
    </w:p>
    <w:p w14:paraId="6591CACB" w14:textId="0990C26C" w:rsidR="002B0052" w:rsidRPr="002B0052" w:rsidRDefault="002B0052" w:rsidP="002B0052">
      <w:pPr>
        <w:autoSpaceDE w:val="0"/>
        <w:autoSpaceDN w:val="0"/>
        <w:adjustRightInd w:val="0"/>
        <w:spacing w:after="0" w:line="240" w:lineRule="auto"/>
        <w:rPr>
          <w:rFonts w:cs="Bodoni 72"/>
          <w:color w:val="000000"/>
          <w:kern w:val="0"/>
          <w:sz w:val="22"/>
          <w:szCs w:val="22"/>
        </w:rPr>
      </w:pPr>
      <w:r>
        <w:rPr>
          <w:rFonts w:cs="Bodoni 72"/>
          <w:noProof/>
          <w:color w:val="000000"/>
          <w:kern w:val="0"/>
          <w:sz w:val="22"/>
          <w:szCs w:val="22"/>
        </w:rPr>
        <mc:AlternateContent>
          <mc:Choice Requires="wps">
            <w:drawing>
              <wp:anchor distT="0" distB="0" distL="114300" distR="114300" simplePos="0" relativeHeight="251659264" behindDoc="0" locked="0" layoutInCell="1" allowOverlap="1" wp14:anchorId="0F2368E8" wp14:editId="21DD40CC">
                <wp:simplePos x="0" y="0"/>
                <wp:positionH relativeFrom="column">
                  <wp:posOffset>-1298</wp:posOffset>
                </wp:positionH>
                <wp:positionV relativeFrom="paragraph">
                  <wp:posOffset>460789</wp:posOffset>
                </wp:positionV>
                <wp:extent cx="5822576" cy="1439186"/>
                <wp:effectExtent l="0" t="0" r="6985" b="8890"/>
                <wp:wrapNone/>
                <wp:docPr id="2112586871" name="Zone de texte 3"/>
                <wp:cNvGraphicFramePr/>
                <a:graphic xmlns:a="http://schemas.openxmlformats.org/drawingml/2006/main">
                  <a:graphicData uri="http://schemas.microsoft.com/office/word/2010/wordprocessingShape">
                    <wps:wsp>
                      <wps:cNvSpPr txBox="1"/>
                      <wps:spPr>
                        <a:xfrm>
                          <a:off x="0" y="0"/>
                          <a:ext cx="5822576" cy="1439186"/>
                        </a:xfrm>
                        <a:prstGeom prst="rect">
                          <a:avLst/>
                        </a:prstGeom>
                        <a:solidFill>
                          <a:schemeClr val="lt1"/>
                        </a:solidFill>
                        <a:ln w="6350">
                          <a:solidFill>
                            <a:prstClr val="black"/>
                          </a:solidFill>
                        </a:ln>
                      </wps:spPr>
                      <wps:txbx>
                        <w:txbxContent>
                          <w:p w14:paraId="25EEA3EB" w14:textId="068ABE86" w:rsidR="002B0052" w:rsidRPr="002B0052" w:rsidRDefault="002B0052" w:rsidP="002B0052">
                            <w:pPr>
                              <w:jc w:val="both"/>
                              <w:rPr>
                                <w:sz w:val="22"/>
                                <w:szCs w:val="22"/>
                              </w:rPr>
                            </w:pPr>
                            <w:r w:rsidRPr="002B0052">
                              <w:rPr>
                                <w:sz w:val="22"/>
                                <w:szCs w:val="22"/>
                              </w:rPr>
                              <w:t xml:space="preserve">SOURCES : </w:t>
                            </w:r>
                          </w:p>
                          <w:p w14:paraId="2AF7F94E" w14:textId="77777777" w:rsidR="00B73818" w:rsidRDefault="002B0052" w:rsidP="002B0052">
                            <w:pPr>
                              <w:pStyle w:val="Paragraphedeliste"/>
                              <w:numPr>
                                <w:ilvl w:val="0"/>
                                <w:numId w:val="2"/>
                              </w:numPr>
                              <w:autoSpaceDE w:val="0"/>
                              <w:autoSpaceDN w:val="0"/>
                              <w:adjustRightInd w:val="0"/>
                              <w:spacing w:after="0" w:line="240" w:lineRule="auto"/>
                              <w:jc w:val="both"/>
                              <w:rPr>
                                <w:rFonts w:cs="Bodoni 72"/>
                                <w:color w:val="000000"/>
                                <w:kern w:val="0"/>
                                <w:sz w:val="22"/>
                                <w:szCs w:val="22"/>
                              </w:rPr>
                            </w:pPr>
                            <w:r w:rsidRPr="002B0052">
                              <w:rPr>
                                <w:rFonts w:cs="Bodoni 72"/>
                                <w:color w:val="000000"/>
                                <w:kern w:val="0"/>
                                <w:sz w:val="22"/>
                                <w:szCs w:val="22"/>
                              </w:rPr>
                              <w:t>romanolaw.com : « Understanding the Talent Agency Act »</w:t>
                            </w:r>
                          </w:p>
                          <w:p w14:paraId="75235269" w14:textId="40A4BFAA" w:rsidR="002B0052" w:rsidRPr="002B0052" w:rsidRDefault="00B73818" w:rsidP="002B0052">
                            <w:pPr>
                              <w:pStyle w:val="Paragraphedeliste"/>
                              <w:numPr>
                                <w:ilvl w:val="0"/>
                                <w:numId w:val="2"/>
                              </w:numPr>
                              <w:autoSpaceDE w:val="0"/>
                              <w:autoSpaceDN w:val="0"/>
                              <w:adjustRightInd w:val="0"/>
                              <w:spacing w:after="0" w:line="240" w:lineRule="auto"/>
                              <w:jc w:val="both"/>
                              <w:rPr>
                                <w:rFonts w:cs="Bodoni 72"/>
                                <w:color w:val="000000"/>
                                <w:kern w:val="0"/>
                                <w:sz w:val="22"/>
                                <w:szCs w:val="22"/>
                              </w:rPr>
                            </w:pPr>
                            <w:r>
                              <w:rPr>
                                <w:rFonts w:cs="Bodoni 72"/>
                                <w:color w:val="000000"/>
                                <w:kern w:val="0"/>
                                <w:sz w:val="22"/>
                                <w:szCs w:val="22"/>
                              </w:rPr>
                              <w:t xml:space="preserve">Pierre-Marie </w:t>
                            </w:r>
                            <w:proofErr w:type="spellStart"/>
                            <w:r>
                              <w:rPr>
                                <w:rFonts w:cs="Bodoni 72"/>
                                <w:color w:val="000000"/>
                                <w:kern w:val="0"/>
                                <w:sz w:val="22"/>
                                <w:szCs w:val="22"/>
                              </w:rPr>
                              <w:t>Bouvery</w:t>
                            </w:r>
                            <w:proofErr w:type="spellEnd"/>
                            <w:r>
                              <w:rPr>
                                <w:rFonts w:cs="Bodoni 72"/>
                                <w:color w:val="000000"/>
                                <w:kern w:val="0"/>
                                <w:sz w:val="22"/>
                                <w:szCs w:val="22"/>
                              </w:rPr>
                              <w:t xml:space="preserve">, </w:t>
                            </w:r>
                            <w:r w:rsidRPr="006B1361">
                              <w:rPr>
                                <w:rFonts w:cs="Bodoni 72"/>
                                <w:i/>
                                <w:iCs/>
                                <w:color w:val="000000"/>
                                <w:kern w:val="0"/>
                                <w:sz w:val="22"/>
                                <w:szCs w:val="22"/>
                              </w:rPr>
                              <w:t>Les contrats 360</w:t>
                            </w:r>
                            <w:r w:rsidR="006B1361">
                              <w:rPr>
                                <w:rFonts w:cs="Bodoni 72"/>
                                <w:i/>
                                <w:iCs/>
                                <w:color w:val="000000"/>
                                <w:kern w:val="0"/>
                                <w:sz w:val="22"/>
                                <w:szCs w:val="22"/>
                              </w:rPr>
                              <w:t>°</w:t>
                            </w:r>
                            <w:r w:rsidRPr="006B1361">
                              <w:rPr>
                                <w:rFonts w:cs="Bodoni 72"/>
                                <w:i/>
                                <w:iCs/>
                                <w:color w:val="000000"/>
                                <w:kern w:val="0"/>
                                <w:sz w:val="22"/>
                                <w:szCs w:val="22"/>
                              </w:rPr>
                              <w:t xml:space="preserve"> – Pour une explication des contrats à droits multiples, </w:t>
                            </w:r>
                            <w:r>
                              <w:rPr>
                                <w:rFonts w:cs="Bodoni 72"/>
                                <w:color w:val="000000"/>
                                <w:kern w:val="0"/>
                                <w:sz w:val="22"/>
                                <w:szCs w:val="22"/>
                              </w:rPr>
                              <w:t xml:space="preserve">IRMA, 2011  </w:t>
                            </w:r>
                          </w:p>
                          <w:p w14:paraId="671D7E1A" w14:textId="77777777" w:rsidR="002B0052" w:rsidRPr="002B0052" w:rsidRDefault="002B0052" w:rsidP="002B0052">
                            <w:pPr>
                              <w:pStyle w:val="Paragraphedeliste"/>
                              <w:numPr>
                                <w:ilvl w:val="0"/>
                                <w:numId w:val="2"/>
                              </w:numPr>
                              <w:autoSpaceDE w:val="0"/>
                              <w:autoSpaceDN w:val="0"/>
                              <w:adjustRightInd w:val="0"/>
                              <w:spacing w:after="0" w:line="240" w:lineRule="auto"/>
                              <w:jc w:val="both"/>
                              <w:rPr>
                                <w:rFonts w:cs="Bodoni 72"/>
                                <w:color w:val="000000"/>
                                <w:kern w:val="0"/>
                                <w:sz w:val="22"/>
                                <w:szCs w:val="22"/>
                              </w:rPr>
                            </w:pPr>
                            <w:proofErr w:type="gramStart"/>
                            <w:r w:rsidRPr="002B0052">
                              <w:rPr>
                                <w:rFonts w:cs="Bodoni 72"/>
                                <w:color w:val="000000"/>
                                <w:kern w:val="0"/>
                                <w:sz w:val="22"/>
                                <w:szCs w:val="22"/>
                              </w:rPr>
                              <w:t>u</w:t>
                            </w:r>
                            <w:proofErr w:type="gramEnd"/>
                            <w:r w:rsidRPr="002B0052">
                              <w:rPr>
                                <w:rFonts w:cs="Bodoni 72"/>
                                <w:color w:val="000000"/>
                                <w:kern w:val="0"/>
                                <w:sz w:val="22"/>
                                <w:szCs w:val="22"/>
                              </w:rPr>
                              <w:t xml:space="preserve">2ulaw .com : « </w:t>
                            </w:r>
                            <w:proofErr w:type="spellStart"/>
                            <w:r w:rsidRPr="002B0052">
                              <w:rPr>
                                <w:rFonts w:cs="Bodoni 72"/>
                                <w:color w:val="000000"/>
                                <w:kern w:val="0"/>
                                <w:sz w:val="22"/>
                                <w:szCs w:val="22"/>
                              </w:rPr>
                              <w:t>Understanding</w:t>
                            </w:r>
                            <w:proofErr w:type="spellEnd"/>
                            <w:r w:rsidRPr="002B0052">
                              <w:rPr>
                                <w:rFonts w:cs="Bodoni 72"/>
                                <w:color w:val="000000"/>
                                <w:kern w:val="0"/>
                                <w:sz w:val="22"/>
                                <w:szCs w:val="22"/>
                              </w:rPr>
                              <w:t xml:space="preserve"> the Talent Agency Act » (2024).</w:t>
                            </w:r>
                          </w:p>
                          <w:p w14:paraId="717BA44D" w14:textId="77777777" w:rsidR="002B0052" w:rsidRPr="002B0052" w:rsidRDefault="002B0052" w:rsidP="002B0052">
                            <w:pPr>
                              <w:pStyle w:val="Paragraphedeliste"/>
                              <w:numPr>
                                <w:ilvl w:val="0"/>
                                <w:numId w:val="2"/>
                              </w:numPr>
                              <w:autoSpaceDE w:val="0"/>
                              <w:autoSpaceDN w:val="0"/>
                              <w:adjustRightInd w:val="0"/>
                              <w:spacing w:after="0" w:line="240" w:lineRule="auto"/>
                              <w:jc w:val="both"/>
                              <w:rPr>
                                <w:rFonts w:cs="Bodoni 72"/>
                                <w:color w:val="000000"/>
                                <w:kern w:val="0"/>
                                <w:sz w:val="22"/>
                                <w:szCs w:val="22"/>
                              </w:rPr>
                            </w:pPr>
                            <w:r w:rsidRPr="002B0052">
                              <w:rPr>
                                <w:rFonts w:cs="Bodoni 72"/>
                                <w:color w:val="000000"/>
                                <w:kern w:val="0"/>
                                <w:sz w:val="22"/>
                                <w:szCs w:val="22"/>
                              </w:rPr>
                              <w:t>nubiz.fr : « Combien rapporte un stream sur Spotify ? »</w:t>
                            </w:r>
                          </w:p>
                          <w:p w14:paraId="2F5B1DA7" w14:textId="0ECD3C70" w:rsidR="002B0052" w:rsidRPr="002B0052" w:rsidRDefault="002B0052" w:rsidP="002B0052">
                            <w:pPr>
                              <w:pStyle w:val="Paragraphedeliste"/>
                              <w:numPr>
                                <w:ilvl w:val="0"/>
                                <w:numId w:val="2"/>
                              </w:numPr>
                              <w:autoSpaceDE w:val="0"/>
                              <w:autoSpaceDN w:val="0"/>
                              <w:adjustRightInd w:val="0"/>
                              <w:spacing w:after="0" w:line="240" w:lineRule="auto"/>
                              <w:jc w:val="both"/>
                              <w:rPr>
                                <w:rFonts w:cs="Bodoni 72"/>
                                <w:color w:val="000000"/>
                                <w:kern w:val="0"/>
                                <w:sz w:val="22"/>
                                <w:szCs w:val="22"/>
                              </w:rPr>
                            </w:pPr>
                            <w:r w:rsidRPr="002B0052">
                              <w:rPr>
                                <w:rFonts w:cs="Bodoni 72"/>
                                <w:color w:val="000000"/>
                                <w:kern w:val="0"/>
                                <w:sz w:val="22"/>
                                <w:szCs w:val="22"/>
                              </w:rPr>
                              <w:t xml:space="preserve">guillaumedeziel.com : </w:t>
                            </w:r>
                            <w:r>
                              <w:rPr>
                                <w:rFonts w:cs="Bodoni 72"/>
                                <w:color w:val="000000"/>
                                <w:kern w:val="0"/>
                                <w:sz w:val="22"/>
                                <w:szCs w:val="22"/>
                              </w:rPr>
                              <w:t>« L</w:t>
                            </w:r>
                            <w:r w:rsidRPr="002B0052">
                              <w:rPr>
                                <w:rFonts w:cs="Bodoni 72"/>
                                <w:color w:val="000000"/>
                                <w:kern w:val="0"/>
                                <w:sz w:val="22"/>
                                <w:szCs w:val="22"/>
                              </w:rPr>
                              <w:t>e contrat 0-6-3 (ou le contrat 360° inversé)</w:t>
                            </w:r>
                            <w:r>
                              <w:rPr>
                                <w:rFonts w:cs="Bodoni 72"/>
                                <w:color w:val="000000"/>
                                <w:kern w:val="0"/>
                                <w:sz w:val="22"/>
                                <w:szCs w:val="22"/>
                              </w:rPr>
                              <w:t>.</w:t>
                            </w:r>
                          </w:p>
                          <w:p w14:paraId="2722C33B" w14:textId="77777777" w:rsidR="002B0052" w:rsidRDefault="002B00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2368E8" id="_x0000_t202" coordsize="21600,21600" o:spt="202" path="m,l,21600r21600,l21600,xe">
                <v:stroke joinstyle="miter"/>
                <v:path gradientshapeok="t" o:connecttype="rect"/>
              </v:shapetype>
              <v:shape id="Zone de texte 3" o:spid="_x0000_s1026" type="#_x0000_t202" style="position:absolute;margin-left:-.1pt;margin-top:36.3pt;width:458.45pt;height:11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" fillcolor="white [3201]" strokeweight=".5pt">
                <v:textbox>
                  <w:txbxContent>
                    <w:p w14:paraId="25EEA3EB" w14:textId="068ABE86" w:rsidR="002B0052" w:rsidRPr="002B0052" w:rsidRDefault="002B0052" w:rsidP="002B0052">
                      <w:pPr>
                        <w:jc w:val="both"/>
                        <w:rPr>
                          <w:sz w:val="22"/>
                          <w:szCs w:val="22"/>
                        </w:rPr>
                      </w:pPr>
                      <w:r w:rsidRPr="002B0052">
                        <w:rPr>
                          <w:sz w:val="22"/>
                          <w:szCs w:val="22"/>
                        </w:rPr>
                        <w:t xml:space="preserve">SOURCES : </w:t>
                      </w:r>
                    </w:p>
                    <w:p w14:paraId="2AF7F94E" w14:textId="77777777" w:rsidR="00B73818" w:rsidRDefault="002B0052" w:rsidP="002B0052">
                      <w:pPr>
                        <w:pStyle w:val="Paragraphedeliste"/>
                        <w:numPr>
                          <w:ilvl w:val="0"/>
                          <w:numId w:val="2"/>
                        </w:numPr>
                        <w:autoSpaceDE w:val="0"/>
                        <w:autoSpaceDN w:val="0"/>
                        <w:adjustRightInd w:val="0"/>
                        <w:spacing w:after="0" w:line="240" w:lineRule="auto"/>
                        <w:jc w:val="both"/>
                        <w:rPr>
                          <w:rFonts w:cs="Bodoni 72"/>
                          <w:color w:val="000000"/>
                          <w:kern w:val="0"/>
                          <w:sz w:val="22"/>
                          <w:szCs w:val="22"/>
                        </w:rPr>
                      </w:pPr>
                      <w:r w:rsidRPr="002B0052">
                        <w:rPr>
                          <w:rFonts w:cs="Bodoni 72"/>
                          <w:color w:val="000000"/>
                          <w:kern w:val="0"/>
                          <w:sz w:val="22"/>
                          <w:szCs w:val="22"/>
                        </w:rPr>
                        <w:t>romanolaw.com : « Understanding the Talent Agency Act »</w:t>
                      </w:r>
                    </w:p>
                    <w:p w14:paraId="75235269" w14:textId="40A4BFAA" w:rsidR="002B0052" w:rsidRPr="002B0052" w:rsidRDefault="00B73818" w:rsidP="002B0052">
                      <w:pPr>
                        <w:pStyle w:val="Paragraphedeliste"/>
                        <w:numPr>
                          <w:ilvl w:val="0"/>
                          <w:numId w:val="2"/>
                        </w:numPr>
                        <w:autoSpaceDE w:val="0"/>
                        <w:autoSpaceDN w:val="0"/>
                        <w:adjustRightInd w:val="0"/>
                        <w:spacing w:after="0" w:line="240" w:lineRule="auto"/>
                        <w:jc w:val="both"/>
                        <w:rPr>
                          <w:rFonts w:cs="Bodoni 72"/>
                          <w:color w:val="000000"/>
                          <w:kern w:val="0"/>
                          <w:sz w:val="22"/>
                          <w:szCs w:val="22"/>
                        </w:rPr>
                      </w:pPr>
                      <w:r>
                        <w:rPr>
                          <w:rFonts w:cs="Bodoni 72"/>
                          <w:color w:val="000000"/>
                          <w:kern w:val="0"/>
                          <w:sz w:val="22"/>
                          <w:szCs w:val="22"/>
                        </w:rPr>
                        <w:t xml:space="preserve">Pierre-Marie </w:t>
                      </w:r>
                      <w:proofErr w:type="spellStart"/>
                      <w:r>
                        <w:rPr>
                          <w:rFonts w:cs="Bodoni 72"/>
                          <w:color w:val="000000"/>
                          <w:kern w:val="0"/>
                          <w:sz w:val="22"/>
                          <w:szCs w:val="22"/>
                        </w:rPr>
                        <w:t>Bouvery</w:t>
                      </w:r>
                      <w:proofErr w:type="spellEnd"/>
                      <w:r>
                        <w:rPr>
                          <w:rFonts w:cs="Bodoni 72"/>
                          <w:color w:val="000000"/>
                          <w:kern w:val="0"/>
                          <w:sz w:val="22"/>
                          <w:szCs w:val="22"/>
                        </w:rPr>
                        <w:t xml:space="preserve">, </w:t>
                      </w:r>
                      <w:r w:rsidRPr="006B1361">
                        <w:rPr>
                          <w:rFonts w:cs="Bodoni 72"/>
                          <w:i/>
                          <w:iCs/>
                          <w:color w:val="000000"/>
                          <w:kern w:val="0"/>
                          <w:sz w:val="22"/>
                          <w:szCs w:val="22"/>
                        </w:rPr>
                        <w:t>Les contrats 360</w:t>
                      </w:r>
                      <w:r w:rsidR="006B1361">
                        <w:rPr>
                          <w:rFonts w:cs="Bodoni 72"/>
                          <w:i/>
                          <w:iCs/>
                          <w:color w:val="000000"/>
                          <w:kern w:val="0"/>
                          <w:sz w:val="22"/>
                          <w:szCs w:val="22"/>
                        </w:rPr>
                        <w:t>°</w:t>
                      </w:r>
                      <w:r w:rsidRPr="006B1361">
                        <w:rPr>
                          <w:rFonts w:cs="Bodoni 72"/>
                          <w:i/>
                          <w:iCs/>
                          <w:color w:val="000000"/>
                          <w:kern w:val="0"/>
                          <w:sz w:val="22"/>
                          <w:szCs w:val="22"/>
                        </w:rPr>
                        <w:t xml:space="preserve"> – Pour une explication des contrats à droits multiples, </w:t>
                      </w:r>
                      <w:r>
                        <w:rPr>
                          <w:rFonts w:cs="Bodoni 72"/>
                          <w:color w:val="000000"/>
                          <w:kern w:val="0"/>
                          <w:sz w:val="22"/>
                          <w:szCs w:val="22"/>
                        </w:rPr>
                        <w:t xml:space="preserve">IRMA, 2011  </w:t>
                      </w:r>
                    </w:p>
                    <w:p w14:paraId="671D7E1A" w14:textId="77777777" w:rsidR="002B0052" w:rsidRPr="002B0052" w:rsidRDefault="002B0052" w:rsidP="002B0052">
                      <w:pPr>
                        <w:pStyle w:val="Paragraphedeliste"/>
                        <w:numPr>
                          <w:ilvl w:val="0"/>
                          <w:numId w:val="2"/>
                        </w:numPr>
                        <w:autoSpaceDE w:val="0"/>
                        <w:autoSpaceDN w:val="0"/>
                        <w:adjustRightInd w:val="0"/>
                        <w:spacing w:after="0" w:line="240" w:lineRule="auto"/>
                        <w:jc w:val="both"/>
                        <w:rPr>
                          <w:rFonts w:cs="Bodoni 72"/>
                          <w:color w:val="000000"/>
                          <w:kern w:val="0"/>
                          <w:sz w:val="22"/>
                          <w:szCs w:val="22"/>
                        </w:rPr>
                      </w:pPr>
                      <w:proofErr w:type="gramStart"/>
                      <w:r w:rsidRPr="002B0052">
                        <w:rPr>
                          <w:rFonts w:cs="Bodoni 72"/>
                          <w:color w:val="000000"/>
                          <w:kern w:val="0"/>
                          <w:sz w:val="22"/>
                          <w:szCs w:val="22"/>
                        </w:rPr>
                        <w:t>u</w:t>
                      </w:r>
                      <w:proofErr w:type="gramEnd"/>
                      <w:r w:rsidRPr="002B0052">
                        <w:rPr>
                          <w:rFonts w:cs="Bodoni 72"/>
                          <w:color w:val="000000"/>
                          <w:kern w:val="0"/>
                          <w:sz w:val="22"/>
                          <w:szCs w:val="22"/>
                        </w:rPr>
                        <w:t xml:space="preserve">2ulaw .com : « </w:t>
                      </w:r>
                      <w:proofErr w:type="spellStart"/>
                      <w:r w:rsidRPr="002B0052">
                        <w:rPr>
                          <w:rFonts w:cs="Bodoni 72"/>
                          <w:color w:val="000000"/>
                          <w:kern w:val="0"/>
                          <w:sz w:val="22"/>
                          <w:szCs w:val="22"/>
                        </w:rPr>
                        <w:t>Understanding</w:t>
                      </w:r>
                      <w:proofErr w:type="spellEnd"/>
                      <w:r w:rsidRPr="002B0052">
                        <w:rPr>
                          <w:rFonts w:cs="Bodoni 72"/>
                          <w:color w:val="000000"/>
                          <w:kern w:val="0"/>
                          <w:sz w:val="22"/>
                          <w:szCs w:val="22"/>
                        </w:rPr>
                        <w:t xml:space="preserve"> the Talent Agency Act » (2024).</w:t>
                      </w:r>
                    </w:p>
                    <w:p w14:paraId="717BA44D" w14:textId="77777777" w:rsidR="002B0052" w:rsidRPr="002B0052" w:rsidRDefault="002B0052" w:rsidP="002B0052">
                      <w:pPr>
                        <w:pStyle w:val="Paragraphedeliste"/>
                        <w:numPr>
                          <w:ilvl w:val="0"/>
                          <w:numId w:val="2"/>
                        </w:numPr>
                        <w:autoSpaceDE w:val="0"/>
                        <w:autoSpaceDN w:val="0"/>
                        <w:adjustRightInd w:val="0"/>
                        <w:spacing w:after="0" w:line="240" w:lineRule="auto"/>
                        <w:jc w:val="both"/>
                        <w:rPr>
                          <w:rFonts w:cs="Bodoni 72"/>
                          <w:color w:val="000000"/>
                          <w:kern w:val="0"/>
                          <w:sz w:val="22"/>
                          <w:szCs w:val="22"/>
                        </w:rPr>
                      </w:pPr>
                      <w:r w:rsidRPr="002B0052">
                        <w:rPr>
                          <w:rFonts w:cs="Bodoni 72"/>
                          <w:color w:val="000000"/>
                          <w:kern w:val="0"/>
                          <w:sz w:val="22"/>
                          <w:szCs w:val="22"/>
                        </w:rPr>
                        <w:t>nubiz.fr : « Combien rapporte un stream sur Spotify ? »</w:t>
                      </w:r>
                    </w:p>
                    <w:p w14:paraId="2F5B1DA7" w14:textId="0ECD3C70" w:rsidR="002B0052" w:rsidRPr="002B0052" w:rsidRDefault="002B0052" w:rsidP="002B0052">
                      <w:pPr>
                        <w:pStyle w:val="Paragraphedeliste"/>
                        <w:numPr>
                          <w:ilvl w:val="0"/>
                          <w:numId w:val="2"/>
                        </w:numPr>
                        <w:autoSpaceDE w:val="0"/>
                        <w:autoSpaceDN w:val="0"/>
                        <w:adjustRightInd w:val="0"/>
                        <w:spacing w:after="0" w:line="240" w:lineRule="auto"/>
                        <w:jc w:val="both"/>
                        <w:rPr>
                          <w:rFonts w:cs="Bodoni 72"/>
                          <w:color w:val="000000"/>
                          <w:kern w:val="0"/>
                          <w:sz w:val="22"/>
                          <w:szCs w:val="22"/>
                        </w:rPr>
                      </w:pPr>
                      <w:r w:rsidRPr="002B0052">
                        <w:rPr>
                          <w:rFonts w:cs="Bodoni 72"/>
                          <w:color w:val="000000"/>
                          <w:kern w:val="0"/>
                          <w:sz w:val="22"/>
                          <w:szCs w:val="22"/>
                        </w:rPr>
                        <w:t xml:space="preserve">guillaumedeziel.com : </w:t>
                      </w:r>
                      <w:r>
                        <w:rPr>
                          <w:rFonts w:cs="Bodoni 72"/>
                          <w:color w:val="000000"/>
                          <w:kern w:val="0"/>
                          <w:sz w:val="22"/>
                          <w:szCs w:val="22"/>
                        </w:rPr>
                        <w:t>« L</w:t>
                      </w:r>
                      <w:r w:rsidRPr="002B0052">
                        <w:rPr>
                          <w:rFonts w:cs="Bodoni 72"/>
                          <w:color w:val="000000"/>
                          <w:kern w:val="0"/>
                          <w:sz w:val="22"/>
                          <w:szCs w:val="22"/>
                        </w:rPr>
                        <w:t>e contrat 0-6-3 (ou le contrat 360° inversé)</w:t>
                      </w:r>
                      <w:r>
                        <w:rPr>
                          <w:rFonts w:cs="Bodoni 72"/>
                          <w:color w:val="000000"/>
                          <w:kern w:val="0"/>
                          <w:sz w:val="22"/>
                          <w:szCs w:val="22"/>
                        </w:rPr>
                        <w:t>.</w:t>
                      </w:r>
                    </w:p>
                    <w:p w14:paraId="2722C33B" w14:textId="77777777" w:rsidR="002B0052" w:rsidRDefault="002B0052"/>
                  </w:txbxContent>
                </v:textbox>
              </v:shape>
            </w:pict>
          </mc:Fallback>
        </mc:AlternateContent>
      </w:r>
    </w:p>
    <w:sectPr w:rsidR="002B0052" w:rsidRPr="002B0052" w:rsidSect="000815AF">
      <w:type w:val="continuous"/>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A05EF" w14:textId="77777777" w:rsidR="002272BC" w:rsidRDefault="002272BC" w:rsidP="00B7127D">
      <w:pPr>
        <w:spacing w:after="0" w:line="240" w:lineRule="auto"/>
      </w:pPr>
      <w:r>
        <w:separator/>
      </w:r>
    </w:p>
  </w:endnote>
  <w:endnote w:type="continuationSeparator" w:id="0">
    <w:p w14:paraId="07196A74" w14:textId="77777777" w:rsidR="002272BC" w:rsidRDefault="002272BC" w:rsidP="00B712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1"/>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Bodoni 72">
    <w:panose1 w:val="00000400000000000000"/>
    <w:charset w:val="00"/>
    <w:family w:val="auto"/>
    <w:pitch w:val="variable"/>
    <w:sig w:usb0="0000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D641E" w14:textId="7C45653D" w:rsidR="00B7127D" w:rsidRDefault="00B7127D">
    <w:pPr>
      <w:pStyle w:val="Pieddepage"/>
    </w:pPr>
    <w:r>
      <w:rPr>
        <w:noProof/>
      </w:rPr>
      <w:drawing>
        <wp:anchor distT="0" distB="0" distL="0" distR="0" simplePos="0" relativeHeight="251661312" behindDoc="1" locked="0" layoutInCell="1" allowOverlap="1" wp14:anchorId="0D49CFE5" wp14:editId="0130BC08">
          <wp:simplePos x="0" y="0"/>
          <wp:positionH relativeFrom="page">
            <wp:posOffset>3240405</wp:posOffset>
          </wp:positionH>
          <wp:positionV relativeFrom="page">
            <wp:posOffset>9875114</wp:posOffset>
          </wp:positionV>
          <wp:extent cx="709574" cy="307239"/>
          <wp:effectExtent l="0" t="0" r="1905" b="0"/>
          <wp:wrapNone/>
          <wp:docPr id="2038077743" name="Image 20380777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09574" cy="307239"/>
                  </a:xfrm>
                  <a:prstGeom prst="rect">
                    <a:avLst/>
                  </a:prstGeom>
                </pic:spPr>
              </pic:pic>
            </a:graphicData>
          </a:graphic>
          <wp14:sizeRelH relativeFrom="margin">
            <wp14:pctWidth>0</wp14:pctWidth>
          </wp14:sizeRelH>
          <wp14:sizeRelV relativeFrom="margin">
            <wp14:pctHeight>0</wp14:pctHeight>
          </wp14:sizeRelV>
        </wp:anchor>
      </w:drawing>
    </w:r>
  </w:p>
  <w:p w14:paraId="65993B43" w14:textId="46E29BBC" w:rsidR="00B7127D" w:rsidRDefault="00B7127D">
    <w:pPr>
      <w:pStyle w:val="Pieddepage"/>
    </w:pPr>
    <w:r>
      <w:rPr>
        <w:noProof/>
      </w:rPr>
      <mc:AlternateContent>
        <mc:Choice Requires="wps">
          <w:drawing>
            <wp:anchor distT="0" distB="0" distL="0" distR="0" simplePos="0" relativeHeight="251659264" behindDoc="1" locked="0" layoutInCell="1" allowOverlap="1" wp14:anchorId="67F11713" wp14:editId="511A19B0">
              <wp:simplePos x="0" y="0"/>
              <wp:positionH relativeFrom="page">
                <wp:posOffset>901700</wp:posOffset>
              </wp:positionH>
              <wp:positionV relativeFrom="page">
                <wp:posOffset>10231628</wp:posOffset>
              </wp:positionV>
              <wp:extent cx="5561330" cy="257175"/>
              <wp:effectExtent l="0" t="0" r="0" b="0"/>
              <wp:wrapNone/>
              <wp:docPr id="607637589"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61330" cy="257175"/>
                      </a:xfrm>
                      <a:prstGeom prst="rect">
                        <a:avLst/>
                      </a:prstGeom>
                    </wps:spPr>
                    <wps:txbx>
                      <w:txbxContent>
                        <w:p w14:paraId="3CC9554F" w14:textId="77777777" w:rsidR="00B7127D" w:rsidRDefault="00B7127D" w:rsidP="00B7127D">
                          <w:pPr>
                            <w:spacing w:before="13" w:line="244" w:lineRule="auto"/>
                            <w:ind w:left="2286" w:right="18" w:hanging="2267"/>
                            <w:rPr>
                              <w:sz w:val="16"/>
                            </w:rPr>
                          </w:pPr>
                          <w:r>
                            <w:rPr>
                              <w:color w:val="252525"/>
                              <w:sz w:val="16"/>
                            </w:rPr>
                            <w:t>Cette</w:t>
                          </w:r>
                          <w:r>
                            <w:rPr>
                              <w:color w:val="252525"/>
                              <w:spacing w:val="-6"/>
                              <w:sz w:val="16"/>
                            </w:rPr>
                            <w:t xml:space="preserve"> </w:t>
                          </w:r>
                          <w:r>
                            <w:rPr>
                              <w:color w:val="252525"/>
                              <w:sz w:val="16"/>
                            </w:rPr>
                            <w:t>création</w:t>
                          </w:r>
                          <w:r>
                            <w:rPr>
                              <w:color w:val="252525"/>
                              <w:spacing w:val="-2"/>
                              <w:sz w:val="16"/>
                            </w:rPr>
                            <w:t xml:space="preserve"> </w:t>
                          </w:r>
                          <w:r>
                            <w:rPr>
                              <w:color w:val="252525"/>
                              <w:sz w:val="16"/>
                            </w:rPr>
                            <w:t xml:space="preserve">par </w:t>
                          </w:r>
                          <w:hyperlink r:id="rId2">
                            <w:r>
                              <w:rPr>
                                <w:color w:val="1F3576"/>
                                <w:sz w:val="16"/>
                              </w:rPr>
                              <w:t>LID2MS-IREDIC</w:t>
                            </w:r>
                          </w:hyperlink>
                          <w:r>
                            <w:rPr>
                              <w:color w:val="1F3576"/>
                              <w:sz w:val="16"/>
                            </w:rPr>
                            <w:t xml:space="preserve"> </w:t>
                          </w:r>
                          <w:r>
                            <w:rPr>
                              <w:color w:val="252525"/>
                              <w:sz w:val="16"/>
                            </w:rPr>
                            <w:t>est</w:t>
                          </w:r>
                          <w:r>
                            <w:rPr>
                              <w:color w:val="252525"/>
                              <w:spacing w:val="-2"/>
                              <w:sz w:val="16"/>
                            </w:rPr>
                            <w:t xml:space="preserve"> </w:t>
                          </w:r>
                          <w:r>
                            <w:rPr>
                              <w:color w:val="252525"/>
                              <w:sz w:val="16"/>
                            </w:rPr>
                            <w:t>mise</w:t>
                          </w:r>
                          <w:r>
                            <w:rPr>
                              <w:color w:val="252525"/>
                              <w:spacing w:val="-7"/>
                              <w:sz w:val="16"/>
                            </w:rPr>
                            <w:t xml:space="preserve"> </w:t>
                          </w:r>
                          <w:r>
                            <w:rPr>
                              <w:color w:val="252525"/>
                              <w:sz w:val="16"/>
                            </w:rPr>
                            <w:t>à</w:t>
                          </w:r>
                          <w:r>
                            <w:rPr>
                              <w:color w:val="252525"/>
                              <w:spacing w:val="-2"/>
                              <w:sz w:val="16"/>
                            </w:rPr>
                            <w:t xml:space="preserve"> </w:t>
                          </w:r>
                          <w:r>
                            <w:rPr>
                              <w:color w:val="252525"/>
                              <w:sz w:val="16"/>
                            </w:rPr>
                            <w:t>disposition</w:t>
                          </w:r>
                          <w:r>
                            <w:rPr>
                              <w:color w:val="252525"/>
                              <w:spacing w:val="-2"/>
                              <w:sz w:val="16"/>
                            </w:rPr>
                            <w:t xml:space="preserve"> </w:t>
                          </w:r>
                          <w:r>
                            <w:rPr>
                              <w:color w:val="252525"/>
                              <w:sz w:val="16"/>
                            </w:rPr>
                            <w:t>selon</w:t>
                          </w:r>
                          <w:r>
                            <w:rPr>
                              <w:color w:val="252525"/>
                              <w:spacing w:val="-2"/>
                              <w:sz w:val="16"/>
                            </w:rPr>
                            <w:t xml:space="preserve"> </w:t>
                          </w:r>
                          <w:r>
                            <w:rPr>
                              <w:color w:val="252525"/>
                              <w:sz w:val="16"/>
                            </w:rPr>
                            <w:t>les termes</w:t>
                          </w:r>
                          <w:r>
                            <w:rPr>
                              <w:color w:val="252525"/>
                              <w:spacing w:val="-2"/>
                              <w:sz w:val="16"/>
                            </w:rPr>
                            <w:t xml:space="preserve"> </w:t>
                          </w:r>
                          <w:r>
                            <w:rPr>
                              <w:color w:val="252525"/>
                              <w:sz w:val="16"/>
                            </w:rPr>
                            <w:t>de</w:t>
                          </w:r>
                          <w:r>
                            <w:rPr>
                              <w:color w:val="252525"/>
                              <w:spacing w:val="-2"/>
                              <w:sz w:val="16"/>
                            </w:rPr>
                            <w:t xml:space="preserve"> </w:t>
                          </w:r>
                          <w:r>
                            <w:rPr>
                              <w:color w:val="252525"/>
                              <w:sz w:val="16"/>
                            </w:rPr>
                            <w:t>la</w:t>
                          </w:r>
                          <w:r>
                            <w:rPr>
                              <w:color w:val="252525"/>
                              <w:spacing w:val="-2"/>
                              <w:sz w:val="16"/>
                            </w:rPr>
                            <w:t xml:space="preserve"> </w:t>
                          </w:r>
                          <w:hyperlink r:id="rId3">
                            <w:r>
                              <w:rPr>
                                <w:color w:val="1F3576"/>
                                <w:sz w:val="16"/>
                              </w:rPr>
                              <w:t>licence</w:t>
                            </w:r>
                            <w:r>
                              <w:rPr>
                                <w:color w:val="1F3576"/>
                                <w:spacing w:val="-11"/>
                                <w:sz w:val="16"/>
                              </w:rPr>
                              <w:t xml:space="preserve"> </w:t>
                            </w:r>
                            <w:r>
                              <w:rPr>
                                <w:color w:val="1F3576"/>
                                <w:sz w:val="16"/>
                              </w:rPr>
                              <w:t>Creative</w:t>
                            </w:r>
                            <w:r>
                              <w:rPr>
                                <w:color w:val="1F3576"/>
                                <w:spacing w:val="-2"/>
                                <w:sz w:val="16"/>
                              </w:rPr>
                              <w:t xml:space="preserve"> </w:t>
                            </w:r>
                            <w:r>
                              <w:rPr>
                                <w:color w:val="1F3576"/>
                                <w:sz w:val="16"/>
                              </w:rPr>
                              <w:t>Commons</w:t>
                            </w:r>
                            <w:r>
                              <w:rPr>
                                <w:color w:val="1F3576"/>
                                <w:spacing w:val="-2"/>
                                <w:sz w:val="16"/>
                              </w:rPr>
                              <w:t xml:space="preserve"> </w:t>
                            </w:r>
                            <w:r>
                              <w:rPr>
                                <w:color w:val="1F3576"/>
                                <w:sz w:val="16"/>
                              </w:rPr>
                              <w:t>Paternité</w:t>
                            </w:r>
                            <w:r>
                              <w:rPr>
                                <w:color w:val="1F3576"/>
                                <w:spacing w:val="-2"/>
                                <w:sz w:val="16"/>
                              </w:rPr>
                              <w:t xml:space="preserve"> </w:t>
                            </w:r>
                            <w:r>
                              <w:rPr>
                                <w:color w:val="1F3576"/>
                                <w:sz w:val="16"/>
                              </w:rPr>
                              <w:t>-</w:t>
                            </w:r>
                            <w:r>
                              <w:rPr>
                                <w:color w:val="1F3576"/>
                                <w:spacing w:val="-5"/>
                                <w:sz w:val="16"/>
                              </w:rPr>
                              <w:t xml:space="preserve"> </w:t>
                            </w:r>
                            <w:r>
                              <w:rPr>
                                <w:color w:val="1F3576"/>
                                <w:sz w:val="16"/>
                              </w:rPr>
                              <w:t>Pas</w:t>
                            </w:r>
                          </w:hyperlink>
                          <w:r>
                            <w:rPr>
                              <w:color w:val="1F3576"/>
                              <w:sz w:val="16"/>
                            </w:rPr>
                            <w:t xml:space="preserve"> </w:t>
                          </w:r>
                          <w:hyperlink r:id="rId4">
                            <w:r>
                              <w:rPr>
                                <w:color w:val="1F3576"/>
                                <w:sz w:val="16"/>
                              </w:rPr>
                              <w:t>d'Utilisation Commerciale - Pas de Modification 2.0 France</w:t>
                            </w:r>
                            <w:r>
                              <w:rPr>
                                <w:color w:val="252525"/>
                                <w:sz w:val="16"/>
                              </w:rPr>
                              <w:t>.</w:t>
                            </w:r>
                          </w:hyperlink>
                        </w:p>
                      </w:txbxContent>
                    </wps:txbx>
                    <wps:bodyPr wrap="square" lIns="0" tIns="0" rIns="0" bIns="0" rtlCol="0">
                      <a:noAutofit/>
                    </wps:bodyPr>
                  </wps:wsp>
                </a:graphicData>
              </a:graphic>
            </wp:anchor>
          </w:drawing>
        </mc:Choice>
        <mc:Fallback>
          <w:pict>
            <v:shapetype w14:anchorId="67F11713" id="_x0000_t202" coordsize="21600,21600" o:spt="202" path="m,l,21600r21600,l21600,xe">
              <v:stroke joinstyle="miter"/>
              <v:path gradientshapeok="t" o:connecttype="rect"/>
            </v:shapetype>
            <v:shape id="Textbox 2" o:spid="_x0000_s1026" type="#_x0000_t202" style="position:absolute;margin-left:71pt;margin-top:805.65pt;width:437.9pt;height:20.2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" filled="f" stroked="f">
              <v:textbox inset="0,0,0,0">
                <w:txbxContent>
                  <w:p w14:paraId="3CC9554F" w14:textId="77777777" w:rsidR="00B7127D" w:rsidRDefault="00B7127D" w:rsidP="00B7127D">
                    <w:pPr>
                      <w:spacing w:before="13" w:line="244" w:lineRule="auto"/>
                      <w:ind w:left="2286" w:right="18" w:hanging="2267"/>
                      <w:rPr>
                        <w:sz w:val="16"/>
                      </w:rPr>
                    </w:pPr>
                    <w:r>
                      <w:rPr>
                        <w:color w:val="252525"/>
                        <w:sz w:val="16"/>
                      </w:rPr>
                      <w:t>Cette</w:t>
                    </w:r>
                    <w:r>
                      <w:rPr>
                        <w:color w:val="252525"/>
                        <w:spacing w:val="-6"/>
                        <w:sz w:val="16"/>
                      </w:rPr>
                      <w:t xml:space="preserve"> </w:t>
                    </w:r>
                    <w:r>
                      <w:rPr>
                        <w:color w:val="252525"/>
                        <w:sz w:val="16"/>
                      </w:rPr>
                      <w:t>création</w:t>
                    </w:r>
                    <w:r>
                      <w:rPr>
                        <w:color w:val="252525"/>
                        <w:spacing w:val="-2"/>
                        <w:sz w:val="16"/>
                      </w:rPr>
                      <w:t xml:space="preserve"> </w:t>
                    </w:r>
                    <w:r>
                      <w:rPr>
                        <w:color w:val="252525"/>
                        <w:sz w:val="16"/>
                      </w:rPr>
                      <w:t xml:space="preserve">par </w:t>
                    </w:r>
                    <w:hyperlink r:id="rId5">
                      <w:r>
                        <w:rPr>
                          <w:color w:val="1F3576"/>
                          <w:sz w:val="16"/>
                        </w:rPr>
                        <w:t>LID2MS-IREDIC</w:t>
                      </w:r>
                    </w:hyperlink>
                    <w:r>
                      <w:rPr>
                        <w:color w:val="1F3576"/>
                        <w:sz w:val="16"/>
                      </w:rPr>
                      <w:t xml:space="preserve"> </w:t>
                    </w:r>
                    <w:r>
                      <w:rPr>
                        <w:color w:val="252525"/>
                        <w:sz w:val="16"/>
                      </w:rPr>
                      <w:t>est</w:t>
                    </w:r>
                    <w:r>
                      <w:rPr>
                        <w:color w:val="252525"/>
                        <w:spacing w:val="-2"/>
                        <w:sz w:val="16"/>
                      </w:rPr>
                      <w:t xml:space="preserve"> </w:t>
                    </w:r>
                    <w:r>
                      <w:rPr>
                        <w:color w:val="252525"/>
                        <w:sz w:val="16"/>
                      </w:rPr>
                      <w:t>mise</w:t>
                    </w:r>
                    <w:r>
                      <w:rPr>
                        <w:color w:val="252525"/>
                        <w:spacing w:val="-7"/>
                        <w:sz w:val="16"/>
                      </w:rPr>
                      <w:t xml:space="preserve"> </w:t>
                    </w:r>
                    <w:r>
                      <w:rPr>
                        <w:color w:val="252525"/>
                        <w:sz w:val="16"/>
                      </w:rPr>
                      <w:t>à</w:t>
                    </w:r>
                    <w:r>
                      <w:rPr>
                        <w:color w:val="252525"/>
                        <w:spacing w:val="-2"/>
                        <w:sz w:val="16"/>
                      </w:rPr>
                      <w:t xml:space="preserve"> </w:t>
                    </w:r>
                    <w:r>
                      <w:rPr>
                        <w:color w:val="252525"/>
                        <w:sz w:val="16"/>
                      </w:rPr>
                      <w:t>disposition</w:t>
                    </w:r>
                    <w:r>
                      <w:rPr>
                        <w:color w:val="252525"/>
                        <w:spacing w:val="-2"/>
                        <w:sz w:val="16"/>
                      </w:rPr>
                      <w:t xml:space="preserve"> </w:t>
                    </w:r>
                    <w:r>
                      <w:rPr>
                        <w:color w:val="252525"/>
                        <w:sz w:val="16"/>
                      </w:rPr>
                      <w:t>selon</w:t>
                    </w:r>
                    <w:r>
                      <w:rPr>
                        <w:color w:val="252525"/>
                        <w:spacing w:val="-2"/>
                        <w:sz w:val="16"/>
                      </w:rPr>
                      <w:t xml:space="preserve"> </w:t>
                    </w:r>
                    <w:r>
                      <w:rPr>
                        <w:color w:val="252525"/>
                        <w:sz w:val="16"/>
                      </w:rPr>
                      <w:t>les termes</w:t>
                    </w:r>
                    <w:r>
                      <w:rPr>
                        <w:color w:val="252525"/>
                        <w:spacing w:val="-2"/>
                        <w:sz w:val="16"/>
                      </w:rPr>
                      <w:t xml:space="preserve"> </w:t>
                    </w:r>
                    <w:r>
                      <w:rPr>
                        <w:color w:val="252525"/>
                        <w:sz w:val="16"/>
                      </w:rPr>
                      <w:t>de</w:t>
                    </w:r>
                    <w:r>
                      <w:rPr>
                        <w:color w:val="252525"/>
                        <w:spacing w:val="-2"/>
                        <w:sz w:val="16"/>
                      </w:rPr>
                      <w:t xml:space="preserve"> </w:t>
                    </w:r>
                    <w:r>
                      <w:rPr>
                        <w:color w:val="252525"/>
                        <w:sz w:val="16"/>
                      </w:rPr>
                      <w:t>la</w:t>
                    </w:r>
                    <w:r>
                      <w:rPr>
                        <w:color w:val="252525"/>
                        <w:spacing w:val="-2"/>
                        <w:sz w:val="16"/>
                      </w:rPr>
                      <w:t xml:space="preserve"> </w:t>
                    </w:r>
                    <w:hyperlink r:id="rId6">
                      <w:r>
                        <w:rPr>
                          <w:color w:val="1F3576"/>
                          <w:sz w:val="16"/>
                        </w:rPr>
                        <w:t>licence</w:t>
                      </w:r>
                      <w:r>
                        <w:rPr>
                          <w:color w:val="1F3576"/>
                          <w:spacing w:val="-11"/>
                          <w:sz w:val="16"/>
                        </w:rPr>
                        <w:t xml:space="preserve"> </w:t>
                      </w:r>
                      <w:r>
                        <w:rPr>
                          <w:color w:val="1F3576"/>
                          <w:sz w:val="16"/>
                        </w:rPr>
                        <w:t>Creative</w:t>
                      </w:r>
                      <w:r>
                        <w:rPr>
                          <w:color w:val="1F3576"/>
                          <w:spacing w:val="-2"/>
                          <w:sz w:val="16"/>
                        </w:rPr>
                        <w:t xml:space="preserve"> </w:t>
                      </w:r>
                      <w:r>
                        <w:rPr>
                          <w:color w:val="1F3576"/>
                          <w:sz w:val="16"/>
                        </w:rPr>
                        <w:t>Commons</w:t>
                      </w:r>
                      <w:r>
                        <w:rPr>
                          <w:color w:val="1F3576"/>
                          <w:spacing w:val="-2"/>
                          <w:sz w:val="16"/>
                        </w:rPr>
                        <w:t xml:space="preserve"> </w:t>
                      </w:r>
                      <w:r>
                        <w:rPr>
                          <w:color w:val="1F3576"/>
                          <w:sz w:val="16"/>
                        </w:rPr>
                        <w:t>Paternité</w:t>
                      </w:r>
                      <w:r>
                        <w:rPr>
                          <w:color w:val="1F3576"/>
                          <w:spacing w:val="-2"/>
                          <w:sz w:val="16"/>
                        </w:rPr>
                        <w:t xml:space="preserve"> </w:t>
                      </w:r>
                      <w:r>
                        <w:rPr>
                          <w:color w:val="1F3576"/>
                          <w:sz w:val="16"/>
                        </w:rPr>
                        <w:t>-</w:t>
                      </w:r>
                      <w:r>
                        <w:rPr>
                          <w:color w:val="1F3576"/>
                          <w:spacing w:val="-5"/>
                          <w:sz w:val="16"/>
                        </w:rPr>
                        <w:t xml:space="preserve"> </w:t>
                      </w:r>
                      <w:r>
                        <w:rPr>
                          <w:color w:val="1F3576"/>
                          <w:sz w:val="16"/>
                        </w:rPr>
                        <w:t>Pas</w:t>
                      </w:r>
                    </w:hyperlink>
                    <w:r>
                      <w:rPr>
                        <w:color w:val="1F3576"/>
                        <w:sz w:val="16"/>
                      </w:rPr>
                      <w:t xml:space="preserve"> </w:t>
                    </w:r>
                    <w:hyperlink r:id="rId7">
                      <w:r>
                        <w:rPr>
                          <w:color w:val="1F3576"/>
                          <w:sz w:val="16"/>
                        </w:rPr>
                        <w:t>d'Utilisation Commerciale - Pas de Modification 2.0 France</w:t>
                      </w:r>
                      <w:r>
                        <w:rPr>
                          <w:color w:val="252525"/>
                          <w:sz w:val="16"/>
                        </w:rPr>
                        <w:t>.</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5B7B7" w14:textId="77777777" w:rsidR="002272BC" w:rsidRDefault="002272BC" w:rsidP="00B7127D">
      <w:pPr>
        <w:spacing w:after="0" w:line="240" w:lineRule="auto"/>
      </w:pPr>
      <w:r>
        <w:separator/>
      </w:r>
    </w:p>
  </w:footnote>
  <w:footnote w:type="continuationSeparator" w:id="0">
    <w:p w14:paraId="4442B507" w14:textId="77777777" w:rsidR="002272BC" w:rsidRDefault="002272BC" w:rsidP="00B712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D6A11"/>
    <w:multiLevelType w:val="hybridMultilevel"/>
    <w:tmpl w:val="6F5A6364"/>
    <w:lvl w:ilvl="0" w:tplc="FE00D844">
      <w:numFmt w:val="bullet"/>
      <w:lvlText w:val="•"/>
      <w:lvlJc w:val="left"/>
      <w:pPr>
        <w:ind w:left="720" w:hanging="360"/>
      </w:pPr>
      <w:rPr>
        <w:rFonts w:hint="default"/>
        <w:lang w:val="fr-FR" w:eastAsia="en-US" w:bidi="ar-SA"/>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39770E3"/>
    <w:multiLevelType w:val="hybridMultilevel"/>
    <w:tmpl w:val="0D78122C"/>
    <w:lvl w:ilvl="0" w:tplc="51688C40">
      <w:start w:val="3"/>
      <w:numFmt w:val="bullet"/>
      <w:lvlText w:val="-"/>
      <w:lvlJc w:val="left"/>
      <w:pPr>
        <w:ind w:left="720" w:hanging="360"/>
      </w:pPr>
      <w:rPr>
        <w:rFonts w:ascii="Aptos" w:eastAsiaTheme="minorHAnsi" w:hAnsi="Aptos" w:cs="Bodoni 72"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47102076">
    <w:abstractNumId w:val="0"/>
  </w:num>
  <w:num w:numId="2" w16cid:durableId="1023847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E2D"/>
    <w:rsid w:val="000815AF"/>
    <w:rsid w:val="00087AAF"/>
    <w:rsid w:val="000E5E06"/>
    <w:rsid w:val="000E7C7C"/>
    <w:rsid w:val="00141E2D"/>
    <w:rsid w:val="00170D96"/>
    <w:rsid w:val="001826BC"/>
    <w:rsid w:val="0018359C"/>
    <w:rsid w:val="00184D91"/>
    <w:rsid w:val="001E1F93"/>
    <w:rsid w:val="001E22EF"/>
    <w:rsid w:val="00212271"/>
    <w:rsid w:val="002272BC"/>
    <w:rsid w:val="00250927"/>
    <w:rsid w:val="002546CC"/>
    <w:rsid w:val="00265B24"/>
    <w:rsid w:val="002956CA"/>
    <w:rsid w:val="002B0052"/>
    <w:rsid w:val="002E04E8"/>
    <w:rsid w:val="003326DF"/>
    <w:rsid w:val="003A3B6C"/>
    <w:rsid w:val="003C696E"/>
    <w:rsid w:val="003E6045"/>
    <w:rsid w:val="00426DD6"/>
    <w:rsid w:val="00460A5B"/>
    <w:rsid w:val="004951DF"/>
    <w:rsid w:val="004E060D"/>
    <w:rsid w:val="00572CD5"/>
    <w:rsid w:val="00584A78"/>
    <w:rsid w:val="005900FE"/>
    <w:rsid w:val="00592199"/>
    <w:rsid w:val="005D4FB4"/>
    <w:rsid w:val="005E4839"/>
    <w:rsid w:val="00605226"/>
    <w:rsid w:val="00606AED"/>
    <w:rsid w:val="0061349B"/>
    <w:rsid w:val="006762C4"/>
    <w:rsid w:val="006A460F"/>
    <w:rsid w:val="006B1361"/>
    <w:rsid w:val="006D0CDC"/>
    <w:rsid w:val="006D7CEC"/>
    <w:rsid w:val="0071046B"/>
    <w:rsid w:val="00741671"/>
    <w:rsid w:val="0076273C"/>
    <w:rsid w:val="007824F0"/>
    <w:rsid w:val="007B5DBC"/>
    <w:rsid w:val="00855158"/>
    <w:rsid w:val="0087760A"/>
    <w:rsid w:val="008E69B1"/>
    <w:rsid w:val="0091163F"/>
    <w:rsid w:val="00914EA0"/>
    <w:rsid w:val="009C25C6"/>
    <w:rsid w:val="00A14F62"/>
    <w:rsid w:val="00A31621"/>
    <w:rsid w:val="00A5408B"/>
    <w:rsid w:val="00A878AB"/>
    <w:rsid w:val="00B24391"/>
    <w:rsid w:val="00B55547"/>
    <w:rsid w:val="00B666DE"/>
    <w:rsid w:val="00B7127D"/>
    <w:rsid w:val="00B73818"/>
    <w:rsid w:val="00B87010"/>
    <w:rsid w:val="00BD0632"/>
    <w:rsid w:val="00CF72EB"/>
    <w:rsid w:val="00D101DC"/>
    <w:rsid w:val="00D54768"/>
    <w:rsid w:val="00DC14C6"/>
    <w:rsid w:val="00DD0282"/>
    <w:rsid w:val="00E142C8"/>
    <w:rsid w:val="00E418D2"/>
    <w:rsid w:val="00E46CA4"/>
    <w:rsid w:val="00E83554"/>
    <w:rsid w:val="00F47922"/>
    <w:rsid w:val="00FC05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14CD4"/>
  <w15:chartTrackingRefBased/>
  <w15:docId w15:val="{5AB35574-AE0F-B84F-B791-DD2D87441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41E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41E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41E2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41E2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41E2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41E2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41E2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41E2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41E2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41E2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41E2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41E2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41E2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41E2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41E2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41E2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41E2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41E2D"/>
    <w:rPr>
      <w:rFonts w:eastAsiaTheme="majorEastAsia" w:cstheme="majorBidi"/>
      <w:color w:val="272727" w:themeColor="text1" w:themeTint="D8"/>
    </w:rPr>
  </w:style>
  <w:style w:type="paragraph" w:styleId="Titre">
    <w:name w:val="Title"/>
    <w:basedOn w:val="Normal"/>
    <w:next w:val="Normal"/>
    <w:link w:val="TitreCar"/>
    <w:uiPriority w:val="10"/>
    <w:qFormat/>
    <w:rsid w:val="00141E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41E2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41E2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41E2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41E2D"/>
    <w:pPr>
      <w:spacing w:before="160"/>
      <w:jc w:val="center"/>
    </w:pPr>
    <w:rPr>
      <w:i/>
      <w:iCs/>
      <w:color w:val="404040" w:themeColor="text1" w:themeTint="BF"/>
    </w:rPr>
  </w:style>
  <w:style w:type="character" w:customStyle="1" w:styleId="CitationCar">
    <w:name w:val="Citation Car"/>
    <w:basedOn w:val="Policepardfaut"/>
    <w:link w:val="Citation"/>
    <w:uiPriority w:val="29"/>
    <w:rsid w:val="00141E2D"/>
    <w:rPr>
      <w:i/>
      <w:iCs/>
      <w:color w:val="404040" w:themeColor="text1" w:themeTint="BF"/>
    </w:rPr>
  </w:style>
  <w:style w:type="paragraph" w:styleId="Paragraphedeliste">
    <w:name w:val="List Paragraph"/>
    <w:basedOn w:val="Normal"/>
    <w:uiPriority w:val="34"/>
    <w:qFormat/>
    <w:rsid w:val="00141E2D"/>
    <w:pPr>
      <w:ind w:left="720"/>
      <w:contextualSpacing/>
    </w:pPr>
  </w:style>
  <w:style w:type="character" w:styleId="Accentuationintense">
    <w:name w:val="Intense Emphasis"/>
    <w:basedOn w:val="Policepardfaut"/>
    <w:uiPriority w:val="21"/>
    <w:qFormat/>
    <w:rsid w:val="00141E2D"/>
    <w:rPr>
      <w:i/>
      <w:iCs/>
      <w:color w:val="0F4761" w:themeColor="accent1" w:themeShade="BF"/>
    </w:rPr>
  </w:style>
  <w:style w:type="paragraph" w:styleId="Citationintense">
    <w:name w:val="Intense Quote"/>
    <w:basedOn w:val="Normal"/>
    <w:next w:val="Normal"/>
    <w:link w:val="CitationintenseCar"/>
    <w:uiPriority w:val="30"/>
    <w:qFormat/>
    <w:rsid w:val="00141E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41E2D"/>
    <w:rPr>
      <w:i/>
      <w:iCs/>
      <w:color w:val="0F4761" w:themeColor="accent1" w:themeShade="BF"/>
    </w:rPr>
  </w:style>
  <w:style w:type="character" w:styleId="Rfrenceintense">
    <w:name w:val="Intense Reference"/>
    <w:basedOn w:val="Policepardfaut"/>
    <w:uiPriority w:val="32"/>
    <w:qFormat/>
    <w:rsid w:val="00141E2D"/>
    <w:rPr>
      <w:b/>
      <w:bCs/>
      <w:smallCaps/>
      <w:color w:val="0F4761" w:themeColor="accent1" w:themeShade="BF"/>
      <w:spacing w:val="5"/>
    </w:rPr>
  </w:style>
  <w:style w:type="paragraph" w:styleId="En-tte">
    <w:name w:val="header"/>
    <w:basedOn w:val="Normal"/>
    <w:link w:val="En-tteCar"/>
    <w:uiPriority w:val="99"/>
    <w:unhideWhenUsed/>
    <w:rsid w:val="00B7127D"/>
    <w:pPr>
      <w:tabs>
        <w:tab w:val="center" w:pos="4536"/>
        <w:tab w:val="right" w:pos="9072"/>
      </w:tabs>
      <w:spacing w:after="0" w:line="240" w:lineRule="auto"/>
    </w:pPr>
  </w:style>
  <w:style w:type="character" w:customStyle="1" w:styleId="En-tteCar">
    <w:name w:val="En-tête Car"/>
    <w:basedOn w:val="Policepardfaut"/>
    <w:link w:val="En-tte"/>
    <w:uiPriority w:val="99"/>
    <w:rsid w:val="00B7127D"/>
  </w:style>
  <w:style w:type="paragraph" w:styleId="Pieddepage">
    <w:name w:val="footer"/>
    <w:basedOn w:val="Normal"/>
    <w:link w:val="PieddepageCar"/>
    <w:uiPriority w:val="99"/>
    <w:unhideWhenUsed/>
    <w:rsid w:val="00B7127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7127D"/>
  </w:style>
  <w:style w:type="character" w:styleId="Lienhypertexte">
    <w:name w:val="Hyperlink"/>
    <w:basedOn w:val="Policepardfaut"/>
    <w:uiPriority w:val="99"/>
    <w:unhideWhenUsed/>
    <w:rsid w:val="00B55547"/>
    <w:rPr>
      <w:color w:val="467886" w:themeColor="hyperlink"/>
      <w:u w:val="single"/>
    </w:rPr>
  </w:style>
  <w:style w:type="character" w:styleId="Mentionnonrsolue">
    <w:name w:val="Unresolved Mention"/>
    <w:basedOn w:val="Policepardfaut"/>
    <w:uiPriority w:val="99"/>
    <w:semiHidden/>
    <w:unhideWhenUsed/>
    <w:rsid w:val="00B55547"/>
    <w:rPr>
      <w:color w:val="605E5C"/>
      <w:shd w:val="clear" w:color="auto" w:fill="E1DFDD"/>
    </w:rPr>
  </w:style>
  <w:style w:type="character" w:customStyle="1" w:styleId="diff-highlight">
    <w:name w:val="diff-highlight"/>
    <w:basedOn w:val="Policepardfaut"/>
    <w:rsid w:val="0087760A"/>
  </w:style>
  <w:style w:type="paragraph" w:customStyle="1" w:styleId="p1">
    <w:name w:val="p1"/>
    <w:basedOn w:val="Normal"/>
    <w:rsid w:val="00265B24"/>
    <w:pPr>
      <w:spacing w:after="0" w:line="240" w:lineRule="auto"/>
    </w:pPr>
    <w:rPr>
      <w:rFonts w:ascii="Helvetica" w:eastAsia="Times New Roman" w:hAnsi="Helvetica" w:cs="Times New Roman"/>
      <w:color w:val="000000"/>
      <w:kern w:val="0"/>
      <w:sz w:val="15"/>
      <w:szCs w:val="15"/>
      <w:lang w:eastAsia="fr-FR"/>
      <w14:ligatures w14:val="none"/>
    </w:rPr>
  </w:style>
  <w:style w:type="paragraph" w:customStyle="1" w:styleId="p2">
    <w:name w:val="p2"/>
    <w:basedOn w:val="Normal"/>
    <w:rsid w:val="0071046B"/>
    <w:pPr>
      <w:spacing w:after="0" w:line="240" w:lineRule="auto"/>
    </w:pPr>
    <w:rPr>
      <w:rFonts w:ascii="Helvetica" w:eastAsia="Times New Roman" w:hAnsi="Helvetica" w:cs="Times New Roman"/>
      <w:color w:val="000000"/>
      <w:kern w:val="0"/>
      <w:sz w:val="12"/>
      <w:szCs w:val="12"/>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creativecommons.org/licenses/by-nc-nd/2.0/fr/" TargetMode="External"/><Relationship Id="rId7" Type="http://schemas.openxmlformats.org/officeDocument/2006/relationships/hyperlink" Target="http://creativecommons.org/licenses/by-nc-nd/2.0/fr/" TargetMode="External"/><Relationship Id="rId2" Type="http://schemas.openxmlformats.org/officeDocument/2006/relationships/hyperlink" Target="http://creativecommons.org/choose/iredic.com" TargetMode="External"/><Relationship Id="rId1" Type="http://schemas.openxmlformats.org/officeDocument/2006/relationships/image" Target="media/image1.png"/><Relationship Id="rId6" Type="http://schemas.openxmlformats.org/officeDocument/2006/relationships/hyperlink" Target="http://creativecommons.org/licenses/by-nc-nd/2.0/fr/" TargetMode="External"/><Relationship Id="rId5" Type="http://schemas.openxmlformats.org/officeDocument/2006/relationships/hyperlink" Target="http://creativecommons.org/choose/iredic.com" TargetMode="External"/><Relationship Id="rId4" Type="http://schemas.openxmlformats.org/officeDocument/2006/relationships/hyperlink" Target="http://creativecommons.org/licenses/by-nc-nd/2.0/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2571C-2FED-FA4A-BCD7-54D02C8E7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3</Pages>
  <Words>1277</Words>
  <Characters>7026</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DEICHELBOHRER Julie</dc:creator>
  <cp:keywords/>
  <dc:description/>
  <cp:lastModifiedBy>DEICHELBOHRER Julie</cp:lastModifiedBy>
  <cp:revision>15</cp:revision>
  <cp:lastPrinted>2025-11-10T15:09:00Z</cp:lastPrinted>
  <dcterms:created xsi:type="dcterms:W3CDTF">2025-11-10T15:09:00Z</dcterms:created>
  <dcterms:modified xsi:type="dcterms:W3CDTF">2026-03-10T20:46:00Z</dcterms:modified>
</cp:coreProperties>
</file>