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DAE9E" w14:textId="4A85BC03" w:rsidR="00F65326" w:rsidRPr="0005633B" w:rsidRDefault="00F65326" w:rsidP="00F032C8">
      <w:pPr>
        <w:jc w:val="center"/>
        <w:rPr>
          <w:b/>
          <w:bCs/>
          <w:sz w:val="23"/>
          <w:szCs w:val="23"/>
          <w:lang w:val="fr-FR"/>
        </w:rPr>
      </w:pPr>
      <w:r w:rsidRPr="0005633B">
        <w:rPr>
          <w:b/>
          <w:bCs/>
          <w:sz w:val="23"/>
          <w:szCs w:val="23"/>
          <w:lang w:val="fr-FR"/>
        </w:rPr>
        <w:t>Le contrat d’influence</w:t>
      </w:r>
    </w:p>
    <w:p w14:paraId="61CF74D8" w14:textId="77A1AAB7" w:rsidR="00804472" w:rsidRPr="0005633B" w:rsidRDefault="00804472" w:rsidP="00EA711B">
      <w:pPr>
        <w:jc w:val="both"/>
        <w:rPr>
          <w:sz w:val="23"/>
          <w:szCs w:val="23"/>
          <w:lang w:val="fr-FR"/>
        </w:rPr>
      </w:pPr>
      <w:r w:rsidRPr="0005633B">
        <w:rPr>
          <w:sz w:val="23"/>
          <w:szCs w:val="23"/>
          <w:lang w:val="fr-FR"/>
        </w:rPr>
        <w:t xml:space="preserve">Contrat </w:t>
      </w:r>
      <w:r w:rsidRPr="0005633B">
        <w:rPr>
          <w:i/>
          <w:iCs/>
          <w:sz w:val="23"/>
          <w:szCs w:val="23"/>
          <w:lang w:val="fr-FR"/>
        </w:rPr>
        <w:t>sui generis</w:t>
      </w:r>
      <w:r w:rsidRPr="0005633B">
        <w:rPr>
          <w:sz w:val="23"/>
          <w:szCs w:val="23"/>
          <w:lang w:val="fr-FR"/>
        </w:rPr>
        <w:t xml:space="preserve">, identification des parties, modalités de paiement, responsabilité, clause  </w:t>
      </w:r>
    </w:p>
    <w:p w14:paraId="726E0A18" w14:textId="433CCEA3" w:rsidR="003306A5" w:rsidRPr="0005633B" w:rsidRDefault="00EA711B" w:rsidP="00EA711B">
      <w:pPr>
        <w:jc w:val="both"/>
        <w:rPr>
          <w:sz w:val="23"/>
          <w:szCs w:val="23"/>
          <w:lang w:val="fr-FR"/>
        </w:rPr>
      </w:pPr>
      <w:r w:rsidRPr="0005633B">
        <w:rPr>
          <w:sz w:val="23"/>
          <w:szCs w:val="23"/>
          <w:lang w:val="fr-FR"/>
        </w:rPr>
        <w:t xml:space="preserve">L’essor des réseaux sociaux a transformé les mécanismes traditionnels de communication en faisant émerger un nouvel acteur. L’influenceur en mobilisant sa notoriété auprès d’une audience est devenu l’intermédiaire central de la communication commerciale en ligne. Cette profession a longtemps été exercée sans cadre juridique </w:t>
      </w:r>
      <w:r w:rsidRPr="0005633B">
        <w:rPr>
          <w:color w:val="000000" w:themeColor="text1"/>
          <w:sz w:val="23"/>
          <w:szCs w:val="23"/>
          <w:lang w:val="fr-FR"/>
        </w:rPr>
        <w:t>prévu</w:t>
      </w:r>
      <w:r w:rsidR="003E15BB" w:rsidRPr="0005633B">
        <w:rPr>
          <w:color w:val="000000" w:themeColor="text1"/>
          <w:sz w:val="23"/>
          <w:szCs w:val="23"/>
          <w:lang w:val="fr-FR"/>
        </w:rPr>
        <w:t xml:space="preserve">s </w:t>
      </w:r>
      <w:r w:rsidRPr="0005633B">
        <w:rPr>
          <w:sz w:val="23"/>
          <w:szCs w:val="23"/>
          <w:lang w:val="fr-FR"/>
        </w:rPr>
        <w:t>et a révélé diverses dérives</w:t>
      </w:r>
      <w:r w:rsidR="00B54BA0" w:rsidRPr="0005633B">
        <w:rPr>
          <w:sz w:val="23"/>
          <w:szCs w:val="23"/>
          <w:lang w:val="fr-FR"/>
        </w:rPr>
        <w:t>. Face à ces constats, le législateur est intervenu dans la loi du 9 juin 2023 afin de lutter contre les dérives des influenceurs sur les réseaux sociaux.</w:t>
      </w:r>
      <w:r w:rsidR="005B683B" w:rsidRPr="0005633B">
        <w:rPr>
          <w:rStyle w:val="Appelnotedebasdep"/>
          <w:sz w:val="23"/>
          <w:szCs w:val="23"/>
          <w:lang w:val="fr-FR"/>
        </w:rPr>
        <w:footnoteReference w:id="1"/>
      </w:r>
      <w:r w:rsidR="00B54BA0" w:rsidRPr="0005633B">
        <w:rPr>
          <w:sz w:val="23"/>
          <w:szCs w:val="23"/>
          <w:lang w:val="fr-FR"/>
        </w:rPr>
        <w:t xml:space="preserve"> Ce dernier a créé le contrat d’influence constituant un instrument de sécurisation des relations entre influenceur, </w:t>
      </w:r>
      <w:r w:rsidR="00B54BA0" w:rsidRPr="0005633B">
        <w:rPr>
          <w:color w:val="000000" w:themeColor="text1"/>
          <w:sz w:val="23"/>
          <w:szCs w:val="23"/>
          <w:lang w:val="fr-FR"/>
        </w:rPr>
        <w:t>annonceur et agent d’influenceur</w:t>
      </w:r>
      <w:r w:rsidR="00B54BA0" w:rsidRPr="0005633B">
        <w:rPr>
          <w:sz w:val="23"/>
          <w:szCs w:val="23"/>
          <w:lang w:val="fr-FR"/>
        </w:rPr>
        <w:t>.</w:t>
      </w:r>
      <w:r w:rsidR="005B683B" w:rsidRPr="0005633B">
        <w:rPr>
          <w:rStyle w:val="Appelnotedebasdep"/>
          <w:sz w:val="23"/>
          <w:szCs w:val="23"/>
          <w:lang w:val="fr-FR"/>
        </w:rPr>
        <w:footnoteReference w:id="2"/>
      </w:r>
      <w:r w:rsidR="00B54BA0" w:rsidRPr="0005633B">
        <w:rPr>
          <w:sz w:val="23"/>
          <w:szCs w:val="23"/>
          <w:lang w:val="fr-FR"/>
        </w:rPr>
        <w:t xml:space="preserve"> </w:t>
      </w:r>
    </w:p>
    <w:p w14:paraId="44613EBD" w14:textId="77777777" w:rsidR="00647A65" w:rsidRPr="0005633B" w:rsidRDefault="00647A65" w:rsidP="00EA711B">
      <w:pPr>
        <w:jc w:val="both"/>
        <w:rPr>
          <w:sz w:val="23"/>
          <w:szCs w:val="23"/>
          <w:lang w:val="fr-FR"/>
        </w:rPr>
      </w:pPr>
    </w:p>
    <w:p w14:paraId="37092FFC" w14:textId="2C9501B6" w:rsidR="00B54BA0" w:rsidRPr="0005633B" w:rsidRDefault="00B54BA0" w:rsidP="00B54BA0">
      <w:pPr>
        <w:pStyle w:val="Paragraphedeliste"/>
        <w:numPr>
          <w:ilvl w:val="0"/>
          <w:numId w:val="1"/>
        </w:numPr>
        <w:jc w:val="both"/>
        <w:rPr>
          <w:b/>
          <w:bCs/>
          <w:sz w:val="23"/>
          <w:szCs w:val="23"/>
          <w:lang w:val="fr-FR"/>
        </w:rPr>
      </w:pPr>
      <w:r w:rsidRPr="0005633B">
        <w:rPr>
          <w:b/>
          <w:bCs/>
          <w:sz w:val="23"/>
          <w:szCs w:val="23"/>
          <w:lang w:val="fr-FR"/>
        </w:rPr>
        <w:t xml:space="preserve">Consécration légale du contrat d’influence </w:t>
      </w:r>
    </w:p>
    <w:p w14:paraId="70403DFE" w14:textId="77777777" w:rsidR="003F487F" w:rsidRPr="0005633B" w:rsidRDefault="003F487F" w:rsidP="003F487F">
      <w:pPr>
        <w:pStyle w:val="Paragraphedeliste"/>
        <w:ind w:left="1080"/>
        <w:jc w:val="both"/>
        <w:rPr>
          <w:b/>
          <w:bCs/>
          <w:sz w:val="23"/>
          <w:szCs w:val="23"/>
          <w:lang w:val="fr-FR"/>
        </w:rPr>
      </w:pPr>
    </w:p>
    <w:p w14:paraId="73671B5C" w14:textId="0946CC0E" w:rsidR="00382F6A" w:rsidRPr="0005633B" w:rsidRDefault="00AD2CA3" w:rsidP="00AD2CA3">
      <w:pPr>
        <w:jc w:val="both"/>
        <w:rPr>
          <w:sz w:val="23"/>
          <w:szCs w:val="23"/>
          <w:lang w:val="fr-FR"/>
        </w:rPr>
      </w:pPr>
      <w:r w:rsidRPr="0005633B">
        <w:rPr>
          <w:sz w:val="23"/>
          <w:szCs w:val="23"/>
          <w:lang w:val="fr-FR"/>
        </w:rPr>
        <w:t xml:space="preserve">Le contrat d’influence est un contrat </w:t>
      </w:r>
      <w:r w:rsidRPr="0005633B">
        <w:rPr>
          <w:i/>
          <w:iCs/>
          <w:sz w:val="23"/>
          <w:szCs w:val="23"/>
          <w:lang w:val="fr-FR"/>
        </w:rPr>
        <w:t>sui</w:t>
      </w:r>
      <w:r w:rsidRPr="0005633B">
        <w:rPr>
          <w:sz w:val="23"/>
          <w:szCs w:val="23"/>
          <w:lang w:val="fr-FR"/>
        </w:rPr>
        <w:t xml:space="preserve"> </w:t>
      </w:r>
      <w:r w:rsidRPr="0005633B">
        <w:rPr>
          <w:i/>
          <w:iCs/>
          <w:sz w:val="23"/>
          <w:szCs w:val="23"/>
          <w:lang w:val="fr-FR"/>
        </w:rPr>
        <w:t>generis</w:t>
      </w:r>
      <w:r w:rsidRPr="0005633B">
        <w:rPr>
          <w:sz w:val="23"/>
          <w:szCs w:val="23"/>
          <w:lang w:val="fr-FR"/>
        </w:rPr>
        <w:t>. Il emprunte des éléments à différents régimes juridiques existants notamment le contrat de prestation de services car l’influenceur s’engage à produire et diffuser des contenus ou encore le contrat de mandat quand un agent représente l’influenceur.</w:t>
      </w:r>
      <w:r w:rsidR="005B683B" w:rsidRPr="0005633B">
        <w:rPr>
          <w:rStyle w:val="Appelnotedebasdep"/>
          <w:sz w:val="23"/>
          <w:szCs w:val="23"/>
          <w:lang w:val="fr-FR"/>
        </w:rPr>
        <w:footnoteReference w:id="3"/>
      </w:r>
      <w:r w:rsidRPr="0005633B">
        <w:rPr>
          <w:sz w:val="23"/>
          <w:szCs w:val="23"/>
          <w:lang w:val="fr-FR"/>
        </w:rPr>
        <w:t xml:space="preserve"> </w:t>
      </w:r>
      <w:r w:rsidR="00382F6A" w:rsidRPr="0005633B">
        <w:rPr>
          <w:sz w:val="23"/>
          <w:szCs w:val="23"/>
          <w:lang w:val="fr-FR"/>
        </w:rPr>
        <w:t xml:space="preserve">Le contrat est soumis au droit français lorsque l’activité vise un public établi sur le territoire français. </w:t>
      </w:r>
    </w:p>
    <w:p w14:paraId="25918841" w14:textId="5C206E40" w:rsidR="00DD1319" w:rsidRPr="0005633B" w:rsidRDefault="00026593" w:rsidP="00647A65">
      <w:pPr>
        <w:spacing w:after="0"/>
        <w:jc w:val="both"/>
        <w:rPr>
          <w:sz w:val="23"/>
          <w:szCs w:val="23"/>
          <w:lang w:val="fr-FR"/>
        </w:rPr>
      </w:pPr>
      <w:r w:rsidRPr="0005633B">
        <w:rPr>
          <w:sz w:val="23"/>
          <w:szCs w:val="23"/>
          <w:lang w:val="fr-FR"/>
        </w:rPr>
        <w:t xml:space="preserve">Dès lors qu’une personne physique ou morale représente un influenceur, un contrat doit être </w:t>
      </w:r>
      <w:r w:rsidRPr="0005633B">
        <w:rPr>
          <w:color w:val="000000" w:themeColor="text1"/>
          <w:sz w:val="23"/>
          <w:szCs w:val="23"/>
          <w:lang w:val="fr-FR"/>
        </w:rPr>
        <w:t>établie</w:t>
      </w:r>
      <w:r w:rsidRPr="0005633B">
        <w:rPr>
          <w:sz w:val="23"/>
          <w:szCs w:val="23"/>
          <w:lang w:val="fr-FR"/>
        </w:rPr>
        <w:t xml:space="preserve">. </w:t>
      </w:r>
      <w:r w:rsidR="00105C40" w:rsidRPr="0005633B">
        <w:rPr>
          <w:sz w:val="23"/>
          <w:szCs w:val="23"/>
          <w:lang w:val="fr-FR"/>
        </w:rPr>
        <w:t>Lorsque l’activité d’influence commerciale est exercée à titre onéreux, l’article 8 de la loi du 9 juin 2023 précise que le contrat doit être écrit au-delà d’un certain seuil, sous peine de nullité.</w:t>
      </w:r>
      <w:r w:rsidR="005B683B" w:rsidRPr="0005633B">
        <w:rPr>
          <w:rStyle w:val="Appelnotedebasdep"/>
          <w:sz w:val="23"/>
          <w:szCs w:val="23"/>
          <w:lang w:val="fr-FR"/>
        </w:rPr>
        <w:footnoteReference w:id="4"/>
      </w:r>
      <w:r w:rsidR="00DD1319" w:rsidRPr="0005633B">
        <w:rPr>
          <w:sz w:val="23"/>
          <w:szCs w:val="23"/>
          <w:lang w:val="fr-FR"/>
        </w:rPr>
        <w:t xml:space="preserve"> Le décret </w:t>
      </w:r>
      <w:r w:rsidR="00360F66" w:rsidRPr="0005633B">
        <w:rPr>
          <w:sz w:val="23"/>
          <w:szCs w:val="23"/>
          <w:lang w:val="fr-FR"/>
        </w:rPr>
        <w:t xml:space="preserve">n°2025-1137 </w:t>
      </w:r>
      <w:r w:rsidR="00DD1319" w:rsidRPr="0005633B">
        <w:rPr>
          <w:sz w:val="23"/>
          <w:szCs w:val="23"/>
          <w:lang w:val="fr-FR"/>
        </w:rPr>
        <w:t>du 28 novembre 2025 précise le champ d’application de cette obligation et fixe le seuil de contractualisation à 1 000 euros hors taxes.</w:t>
      </w:r>
      <w:r w:rsidR="005B683B" w:rsidRPr="0005633B">
        <w:rPr>
          <w:rStyle w:val="Appelnotedebasdep"/>
          <w:sz w:val="23"/>
          <w:szCs w:val="23"/>
          <w:lang w:val="fr-FR"/>
        </w:rPr>
        <w:footnoteReference w:id="5"/>
      </w:r>
      <w:r w:rsidR="0005633B">
        <w:rPr>
          <w:sz w:val="23"/>
          <w:szCs w:val="23"/>
          <w:lang w:val="fr-FR"/>
        </w:rPr>
        <w:t xml:space="preserve"> </w:t>
      </w:r>
      <w:r w:rsidR="00DD1319" w:rsidRPr="0005633B">
        <w:rPr>
          <w:sz w:val="23"/>
          <w:szCs w:val="23"/>
          <w:lang w:val="fr-FR"/>
        </w:rPr>
        <w:t xml:space="preserve">Cela correspond à la somme des rémunérations versées et de la valeur des avantages en nature </w:t>
      </w:r>
      <w:r w:rsidR="00DD1319" w:rsidRPr="0005633B">
        <w:rPr>
          <w:color w:val="000000" w:themeColor="text1"/>
          <w:sz w:val="23"/>
          <w:szCs w:val="23"/>
          <w:lang w:val="fr-FR"/>
        </w:rPr>
        <w:t xml:space="preserve">accordés </w:t>
      </w:r>
      <w:r w:rsidR="00DD1319" w:rsidRPr="0005633B">
        <w:rPr>
          <w:sz w:val="23"/>
          <w:szCs w:val="23"/>
          <w:lang w:val="fr-FR"/>
        </w:rPr>
        <w:t xml:space="preserve">au cours de l’année pour une prestation ou un ensemble de prestations poursuivant un même objectif promotionnel. </w:t>
      </w:r>
    </w:p>
    <w:p w14:paraId="28BA37A2" w14:textId="5F7601B5" w:rsidR="00DD1319" w:rsidRPr="0005633B" w:rsidRDefault="00DD1319" w:rsidP="00647A65">
      <w:pPr>
        <w:spacing w:after="0"/>
        <w:jc w:val="both"/>
        <w:rPr>
          <w:sz w:val="23"/>
          <w:szCs w:val="23"/>
          <w:lang w:val="fr-FR"/>
        </w:rPr>
      </w:pPr>
      <w:r w:rsidRPr="0005633B">
        <w:rPr>
          <w:sz w:val="23"/>
          <w:szCs w:val="23"/>
          <w:lang w:val="fr-FR"/>
        </w:rPr>
        <w:t>Le contrat doit également comport</w:t>
      </w:r>
      <w:r w:rsidRPr="0005633B">
        <w:rPr>
          <w:color w:val="000000" w:themeColor="text1"/>
          <w:sz w:val="23"/>
          <w:szCs w:val="23"/>
          <w:lang w:val="fr-FR"/>
        </w:rPr>
        <w:t xml:space="preserve">er </w:t>
      </w:r>
      <w:r w:rsidRPr="0005633B">
        <w:rPr>
          <w:sz w:val="23"/>
          <w:szCs w:val="23"/>
          <w:lang w:val="fr-FR"/>
        </w:rPr>
        <w:t xml:space="preserve">les informations relatives à l’identité des parties incluant leurs </w:t>
      </w:r>
      <w:r w:rsidRPr="0005633B">
        <w:rPr>
          <w:color w:val="000000" w:themeColor="text1"/>
          <w:sz w:val="23"/>
          <w:szCs w:val="23"/>
          <w:lang w:val="fr-FR"/>
        </w:rPr>
        <w:t xml:space="preserve">coordonnés </w:t>
      </w:r>
      <w:r w:rsidRPr="0005633B">
        <w:rPr>
          <w:sz w:val="23"/>
          <w:szCs w:val="23"/>
          <w:lang w:val="fr-FR"/>
        </w:rPr>
        <w:t>postales, électroniques et leur pays de résidence fiscale. Cela permet de faciliter les actions</w:t>
      </w:r>
      <w:r w:rsidR="00022377" w:rsidRPr="0005633B">
        <w:rPr>
          <w:sz w:val="23"/>
          <w:szCs w:val="23"/>
          <w:lang w:val="fr-FR"/>
        </w:rPr>
        <w:t xml:space="preserve"> en justice et les contrôles administratifs. </w:t>
      </w:r>
    </w:p>
    <w:p w14:paraId="3B6CDB16" w14:textId="17CC327F" w:rsidR="00022377" w:rsidRPr="0005633B" w:rsidRDefault="00022377" w:rsidP="00647A65">
      <w:pPr>
        <w:spacing w:after="0"/>
        <w:jc w:val="both"/>
        <w:rPr>
          <w:sz w:val="23"/>
          <w:szCs w:val="23"/>
          <w:lang w:val="fr-FR"/>
        </w:rPr>
      </w:pPr>
      <w:r w:rsidRPr="0005633B">
        <w:rPr>
          <w:sz w:val="23"/>
          <w:szCs w:val="23"/>
          <w:lang w:val="fr-FR"/>
        </w:rPr>
        <w:t>De plus,</w:t>
      </w:r>
      <w:r w:rsidR="00614744" w:rsidRPr="0005633B">
        <w:rPr>
          <w:sz w:val="23"/>
          <w:szCs w:val="23"/>
          <w:lang w:val="fr-FR"/>
        </w:rPr>
        <w:t xml:space="preserve"> l’article 1163 du Code civil rappel que lorsque que le contrat a « pour objet une prestation présente ou future », il est </w:t>
      </w:r>
      <w:r w:rsidR="006040A8" w:rsidRPr="0005633B">
        <w:rPr>
          <w:sz w:val="23"/>
          <w:szCs w:val="23"/>
          <w:lang w:val="fr-FR"/>
        </w:rPr>
        <w:t>essentiel que</w:t>
      </w:r>
      <w:r w:rsidR="00614744" w:rsidRPr="0005633B">
        <w:rPr>
          <w:sz w:val="23"/>
          <w:szCs w:val="23"/>
          <w:lang w:val="fr-FR"/>
        </w:rPr>
        <w:t xml:space="preserve"> la nature des missions confiées soit précisément </w:t>
      </w:r>
      <w:r w:rsidR="006040A8" w:rsidRPr="0005633B">
        <w:rPr>
          <w:sz w:val="23"/>
          <w:szCs w:val="23"/>
          <w:lang w:val="fr-FR"/>
        </w:rPr>
        <w:t>définie.</w:t>
      </w:r>
      <w:r w:rsidR="0005633B" w:rsidRPr="0005633B">
        <w:rPr>
          <w:sz w:val="23"/>
          <w:szCs w:val="23"/>
          <w:lang w:val="fr-FR"/>
        </w:rPr>
        <w:t xml:space="preserve"> </w:t>
      </w:r>
      <w:r w:rsidRPr="0005633B">
        <w:rPr>
          <w:sz w:val="23"/>
          <w:szCs w:val="23"/>
          <w:lang w:val="fr-FR"/>
        </w:rPr>
        <w:t>Cela permet de déterminer l’objet du contrat</w:t>
      </w:r>
      <w:r w:rsidR="00F3194C" w:rsidRPr="0005633B">
        <w:rPr>
          <w:sz w:val="23"/>
          <w:szCs w:val="23"/>
          <w:lang w:val="fr-FR"/>
        </w:rPr>
        <w:t>,</w:t>
      </w:r>
      <w:r w:rsidRPr="0005633B">
        <w:rPr>
          <w:sz w:val="23"/>
          <w:szCs w:val="23"/>
          <w:lang w:val="fr-FR"/>
        </w:rPr>
        <w:t xml:space="preserve"> de limiter les risques de litiges liés à l’interprétation des obligations des parties. </w:t>
      </w:r>
    </w:p>
    <w:p w14:paraId="5753770C" w14:textId="6359D898" w:rsidR="00022377" w:rsidRPr="0005633B" w:rsidRDefault="00022377" w:rsidP="00647A65">
      <w:pPr>
        <w:spacing w:after="0"/>
        <w:jc w:val="both"/>
        <w:rPr>
          <w:sz w:val="23"/>
          <w:szCs w:val="23"/>
          <w:lang w:val="fr-FR"/>
        </w:rPr>
      </w:pPr>
      <w:r w:rsidRPr="0005633B">
        <w:rPr>
          <w:sz w:val="23"/>
          <w:szCs w:val="23"/>
          <w:lang w:val="fr-FR"/>
        </w:rPr>
        <w:t>Le contrat doit préciser la rémunération de l’influenceur, les conditions et les modalités de paiement. L</w:t>
      </w:r>
      <w:r w:rsidR="006040A8" w:rsidRPr="0005633B">
        <w:rPr>
          <w:sz w:val="23"/>
          <w:szCs w:val="23"/>
          <w:lang w:val="fr-FR"/>
        </w:rPr>
        <w:t>’article 1 de la loi du 9 juin 2023 souligne que l</w:t>
      </w:r>
      <w:r w:rsidRPr="0005633B">
        <w:rPr>
          <w:sz w:val="23"/>
          <w:szCs w:val="23"/>
          <w:lang w:val="fr-FR"/>
        </w:rPr>
        <w:t xml:space="preserve">a rémunération peut être versée en numéraire ou sous forme d’avantage en </w:t>
      </w:r>
      <w:r w:rsidRPr="0005633B">
        <w:rPr>
          <w:sz w:val="23"/>
          <w:szCs w:val="23"/>
          <w:lang w:val="fr-FR"/>
        </w:rPr>
        <w:lastRenderedPageBreak/>
        <w:t>nature.</w:t>
      </w:r>
      <w:r w:rsidR="005B683B" w:rsidRPr="0005633B">
        <w:rPr>
          <w:rStyle w:val="Appelnotedebasdep"/>
          <w:sz w:val="23"/>
          <w:szCs w:val="23"/>
          <w:lang w:val="fr-FR"/>
        </w:rPr>
        <w:footnoteReference w:id="6"/>
      </w:r>
      <w:r w:rsidRPr="0005633B">
        <w:rPr>
          <w:sz w:val="23"/>
          <w:szCs w:val="23"/>
          <w:lang w:val="fr-FR"/>
        </w:rPr>
        <w:t xml:space="preserve"> </w:t>
      </w:r>
      <w:r w:rsidR="006040A8" w:rsidRPr="0005633B">
        <w:rPr>
          <w:sz w:val="23"/>
          <w:szCs w:val="23"/>
          <w:lang w:val="fr-FR"/>
        </w:rPr>
        <w:t>De cette façon, la remise de produits à l’influenceur sans contrepartie ne relève pas du champ contractuel</w:t>
      </w:r>
      <w:r w:rsidR="00026593" w:rsidRPr="0005633B">
        <w:rPr>
          <w:sz w:val="23"/>
          <w:szCs w:val="23"/>
          <w:lang w:val="fr-FR"/>
        </w:rPr>
        <w:t xml:space="preserve">. </w:t>
      </w:r>
    </w:p>
    <w:p w14:paraId="762AACC1" w14:textId="19672496" w:rsidR="00592A8D" w:rsidRPr="0005633B" w:rsidRDefault="00026593" w:rsidP="00B54BA0">
      <w:pPr>
        <w:jc w:val="both"/>
        <w:rPr>
          <w:sz w:val="23"/>
          <w:szCs w:val="23"/>
          <w:lang w:val="fr-FR"/>
        </w:rPr>
      </w:pPr>
      <w:r w:rsidRPr="0005633B">
        <w:rPr>
          <w:sz w:val="23"/>
          <w:szCs w:val="23"/>
          <w:lang w:val="fr-FR"/>
        </w:rPr>
        <w:t xml:space="preserve">Le contrat doit </w:t>
      </w:r>
      <w:r w:rsidR="006040A8" w:rsidRPr="0005633B">
        <w:rPr>
          <w:sz w:val="23"/>
          <w:szCs w:val="23"/>
          <w:lang w:val="fr-FR"/>
        </w:rPr>
        <w:t xml:space="preserve">également </w:t>
      </w:r>
      <w:r w:rsidRPr="0005633B">
        <w:rPr>
          <w:sz w:val="23"/>
          <w:szCs w:val="23"/>
          <w:lang w:val="fr-FR"/>
        </w:rPr>
        <w:t>détailler les droits et obligations des parties notamment en matière de propriété intellectuelle. Un contrat de cession peut être nécessaire afin d’encadrer les droits d’exploitation des contenus créés par l’influenceur (reproduction, représentation, territoire, durée, support)</w:t>
      </w:r>
      <w:r w:rsidR="0005633B" w:rsidRPr="0005633B">
        <w:rPr>
          <w:rStyle w:val="Appelnotedebasdep"/>
          <w:sz w:val="23"/>
          <w:szCs w:val="23"/>
          <w:lang w:val="fr-FR"/>
        </w:rPr>
        <w:footnoteReference w:id="7"/>
      </w:r>
      <w:r w:rsidRPr="0005633B">
        <w:rPr>
          <w:sz w:val="23"/>
          <w:szCs w:val="23"/>
          <w:lang w:val="fr-FR"/>
        </w:rPr>
        <w:t xml:space="preserve"> </w:t>
      </w:r>
      <w:r w:rsidR="00592A8D" w:rsidRPr="0005633B">
        <w:rPr>
          <w:sz w:val="23"/>
          <w:szCs w:val="23"/>
          <w:lang w:val="fr-FR"/>
        </w:rPr>
        <w:t xml:space="preserve"> </w:t>
      </w:r>
    </w:p>
    <w:p w14:paraId="272D41DC" w14:textId="77777777" w:rsidR="00026593" w:rsidRPr="0005633B" w:rsidRDefault="00026593" w:rsidP="00B54BA0">
      <w:pPr>
        <w:jc w:val="both"/>
        <w:rPr>
          <w:sz w:val="23"/>
          <w:szCs w:val="23"/>
          <w:lang w:val="fr-FR"/>
        </w:rPr>
      </w:pPr>
    </w:p>
    <w:p w14:paraId="4E27C6C5" w14:textId="38B7469B" w:rsidR="00382F6A" w:rsidRPr="0005633B" w:rsidRDefault="00B54BA0" w:rsidP="00382F6A">
      <w:pPr>
        <w:pStyle w:val="Paragraphedeliste"/>
        <w:numPr>
          <w:ilvl w:val="0"/>
          <w:numId w:val="1"/>
        </w:numPr>
        <w:jc w:val="both"/>
        <w:rPr>
          <w:b/>
          <w:bCs/>
          <w:sz w:val="23"/>
          <w:szCs w:val="23"/>
          <w:lang w:val="fr-FR"/>
        </w:rPr>
      </w:pPr>
      <w:r w:rsidRPr="0005633B">
        <w:rPr>
          <w:b/>
          <w:bCs/>
          <w:sz w:val="23"/>
          <w:szCs w:val="23"/>
          <w:lang w:val="fr-FR"/>
        </w:rPr>
        <w:t xml:space="preserve">Le renforcement des responsabilités des acteurs au contrat : la responsabilité </w:t>
      </w:r>
      <w:r w:rsidR="00592A8D" w:rsidRPr="0005633B">
        <w:rPr>
          <w:b/>
          <w:bCs/>
          <w:sz w:val="23"/>
          <w:szCs w:val="23"/>
          <w:lang w:val="fr-FR"/>
        </w:rPr>
        <w:t>solidaire</w:t>
      </w:r>
    </w:p>
    <w:p w14:paraId="65005771" w14:textId="77777777" w:rsidR="003F487F" w:rsidRPr="0005633B" w:rsidRDefault="003F487F" w:rsidP="003F487F">
      <w:pPr>
        <w:pStyle w:val="Paragraphedeliste"/>
        <w:ind w:left="1080"/>
        <w:jc w:val="both"/>
        <w:rPr>
          <w:b/>
          <w:bCs/>
          <w:sz w:val="23"/>
          <w:szCs w:val="23"/>
          <w:lang w:val="fr-FR"/>
        </w:rPr>
      </w:pPr>
    </w:p>
    <w:p w14:paraId="7D3BDE5C" w14:textId="5C4A88BE" w:rsidR="00382F6A" w:rsidRPr="0005633B" w:rsidRDefault="00382F6A" w:rsidP="00382F6A">
      <w:pPr>
        <w:jc w:val="both"/>
        <w:rPr>
          <w:sz w:val="23"/>
          <w:szCs w:val="23"/>
          <w:lang w:val="fr-FR"/>
        </w:rPr>
      </w:pPr>
      <w:r w:rsidRPr="0005633B">
        <w:rPr>
          <w:sz w:val="23"/>
          <w:szCs w:val="23"/>
          <w:lang w:val="fr-FR"/>
        </w:rPr>
        <w:t>La responsabilité solidaire est prévue par l’article 8 de la loi du 9 juin 2023.</w:t>
      </w:r>
      <w:r w:rsidR="0005633B" w:rsidRPr="0005633B">
        <w:rPr>
          <w:rStyle w:val="Appelnotedebasdep"/>
          <w:sz w:val="23"/>
          <w:szCs w:val="23"/>
          <w:lang w:val="fr-FR"/>
        </w:rPr>
        <w:footnoteReference w:id="8"/>
      </w:r>
      <w:r w:rsidRPr="0005633B">
        <w:rPr>
          <w:sz w:val="23"/>
          <w:szCs w:val="23"/>
          <w:lang w:val="fr-FR"/>
        </w:rPr>
        <w:t xml:space="preserve"> Elle repose sur le principe que le dommage causé par un contenu est rarement imputable à un seul acteur. Elle s’impose aux cocontractants même en l’absence de clause contractuelle.</w:t>
      </w:r>
    </w:p>
    <w:p w14:paraId="73E33D00" w14:textId="70E18E62" w:rsidR="00592A8D" w:rsidRPr="0005633B" w:rsidRDefault="00592A8D" w:rsidP="00647A65">
      <w:pPr>
        <w:spacing w:after="0"/>
        <w:jc w:val="both"/>
        <w:rPr>
          <w:color w:val="000000" w:themeColor="text1"/>
          <w:sz w:val="23"/>
          <w:szCs w:val="23"/>
          <w:lang w:val="fr-FR"/>
        </w:rPr>
      </w:pPr>
      <w:r w:rsidRPr="0005633B">
        <w:rPr>
          <w:color w:val="000000" w:themeColor="text1"/>
          <w:sz w:val="23"/>
          <w:szCs w:val="23"/>
          <w:lang w:val="fr-FR"/>
        </w:rPr>
        <w:t>L’influenceur, l’annonceur et l’agent d’influenceur sont responsables solidairement des dommages causés aux tiers dans l’exécution du contrat qui l</w:t>
      </w:r>
      <w:r w:rsidR="003E15BB" w:rsidRPr="0005633B">
        <w:rPr>
          <w:color w:val="000000" w:themeColor="text1"/>
          <w:sz w:val="23"/>
          <w:szCs w:val="23"/>
          <w:lang w:val="fr-FR"/>
        </w:rPr>
        <w:t>e</w:t>
      </w:r>
      <w:r w:rsidRPr="0005633B">
        <w:rPr>
          <w:color w:val="000000" w:themeColor="text1"/>
          <w:sz w:val="23"/>
          <w:szCs w:val="23"/>
          <w:lang w:val="fr-FR"/>
        </w:rPr>
        <w:t>s lie. En ce sens, le tiers, victime peut demander l’indemnisation complète à un seul des débiteurs solidaires.</w:t>
      </w:r>
      <w:r w:rsidR="0005633B" w:rsidRPr="0005633B">
        <w:rPr>
          <w:rStyle w:val="Appelnotedebasdep"/>
          <w:color w:val="000000" w:themeColor="text1"/>
          <w:sz w:val="23"/>
          <w:szCs w:val="23"/>
          <w:lang w:val="fr-FR"/>
        </w:rPr>
        <w:footnoteReference w:id="9"/>
      </w:r>
    </w:p>
    <w:p w14:paraId="0E13A8CB" w14:textId="182042F6" w:rsidR="00131466" w:rsidRPr="0005633B" w:rsidRDefault="00592A8D" w:rsidP="00592A8D">
      <w:pPr>
        <w:jc w:val="both"/>
        <w:rPr>
          <w:sz w:val="23"/>
          <w:szCs w:val="23"/>
          <w:lang w:val="fr-FR"/>
        </w:rPr>
      </w:pPr>
      <w:r w:rsidRPr="0005633B">
        <w:rPr>
          <w:sz w:val="23"/>
          <w:szCs w:val="23"/>
          <w:lang w:val="fr-FR"/>
        </w:rPr>
        <w:t xml:space="preserve">Cette responsabilité conjointe se justifie par l’activité d’influence. L’agent d’influenceur </w:t>
      </w:r>
      <w:r w:rsidR="00131466" w:rsidRPr="0005633B">
        <w:rPr>
          <w:sz w:val="23"/>
          <w:szCs w:val="23"/>
          <w:lang w:val="fr-FR"/>
        </w:rPr>
        <w:t>joue</w:t>
      </w:r>
      <w:r w:rsidRPr="0005633B">
        <w:rPr>
          <w:sz w:val="23"/>
          <w:szCs w:val="23"/>
          <w:lang w:val="fr-FR"/>
        </w:rPr>
        <w:t xml:space="preserve"> un rôle de conseil et de vigilance renfo</w:t>
      </w:r>
      <w:r w:rsidR="00131466" w:rsidRPr="0005633B">
        <w:rPr>
          <w:sz w:val="23"/>
          <w:szCs w:val="23"/>
          <w:lang w:val="fr-FR"/>
        </w:rPr>
        <w:t xml:space="preserve">rcé. C’est à lui de prendre </w:t>
      </w:r>
      <w:r w:rsidR="00131466" w:rsidRPr="0005633B">
        <w:rPr>
          <w:sz w:val="23"/>
          <w:szCs w:val="23"/>
          <w:lang w:val="fr-FR"/>
        </w:rPr>
        <w:t>les mesures nécessaires afin de garantir la défense des intérêts de l’influenceur et veiller au respect des dispositions légales.</w:t>
      </w:r>
      <w:r w:rsidR="0005633B" w:rsidRPr="0005633B">
        <w:rPr>
          <w:rStyle w:val="Appelnotedebasdep"/>
          <w:sz w:val="23"/>
          <w:szCs w:val="23"/>
          <w:lang w:val="fr-FR"/>
        </w:rPr>
        <w:footnoteReference w:id="10"/>
      </w:r>
      <w:r w:rsidR="00131466" w:rsidRPr="0005633B">
        <w:rPr>
          <w:sz w:val="23"/>
          <w:szCs w:val="23"/>
          <w:lang w:val="fr-FR"/>
        </w:rPr>
        <w:t xml:space="preserve"> L’annonceur peut voir sa responsabilité ajustée en fonction du degré de contrôle qu’il exerce sur le contenu diffusé. En ce sens, si le fait délictueux résulte d’une initiative isolée de l’influenceur</w:t>
      </w:r>
      <w:r w:rsidR="00131466" w:rsidRPr="0005633B">
        <w:rPr>
          <w:color w:val="EE0000"/>
          <w:sz w:val="23"/>
          <w:szCs w:val="23"/>
          <w:lang w:val="fr-FR"/>
        </w:rPr>
        <w:t xml:space="preserve"> </w:t>
      </w:r>
      <w:r w:rsidR="00131466" w:rsidRPr="0005633B">
        <w:rPr>
          <w:sz w:val="23"/>
          <w:szCs w:val="23"/>
          <w:lang w:val="fr-FR"/>
        </w:rPr>
        <w:t xml:space="preserve">la mise en cause de l’annonceur peut être écartée. Toutefois, quand l’influenceur agit sous les instructions de l’annonceur, sa responsabilité peut être justifiée. </w:t>
      </w:r>
    </w:p>
    <w:p w14:paraId="3683CD8F" w14:textId="46EB16F0" w:rsidR="00AD2CA3" w:rsidRPr="0005633B" w:rsidRDefault="00AD2CA3" w:rsidP="00592A8D">
      <w:pPr>
        <w:jc w:val="both"/>
        <w:rPr>
          <w:sz w:val="23"/>
          <w:szCs w:val="23"/>
          <w:lang w:val="fr-FR"/>
        </w:rPr>
      </w:pPr>
      <w:r w:rsidRPr="0005633B">
        <w:rPr>
          <w:sz w:val="23"/>
          <w:szCs w:val="23"/>
          <w:lang w:val="fr-FR"/>
        </w:rPr>
        <w:t>Cependant, même si la responsabilité solidaire est d’ordre publi</w:t>
      </w:r>
      <w:r w:rsidR="00813349" w:rsidRPr="0005633B">
        <w:rPr>
          <w:sz w:val="23"/>
          <w:szCs w:val="23"/>
          <w:lang w:val="fr-FR"/>
        </w:rPr>
        <w:t>c</w:t>
      </w:r>
      <w:r w:rsidRPr="0005633B">
        <w:rPr>
          <w:sz w:val="23"/>
          <w:szCs w:val="23"/>
          <w:lang w:val="fr-FR"/>
        </w:rPr>
        <w:t xml:space="preserve">, le contrat peut </w:t>
      </w:r>
      <w:r w:rsidRPr="0005633B">
        <w:rPr>
          <w:color w:val="000000" w:themeColor="text1"/>
          <w:sz w:val="23"/>
          <w:szCs w:val="23"/>
          <w:lang w:val="fr-FR"/>
        </w:rPr>
        <w:t xml:space="preserve">répartir </w:t>
      </w:r>
      <w:r w:rsidRPr="0005633B">
        <w:rPr>
          <w:sz w:val="23"/>
          <w:szCs w:val="23"/>
          <w:lang w:val="fr-FR"/>
        </w:rPr>
        <w:t xml:space="preserve">la charge finale entre les parties, prévoir des garanties croisées ou encore imposer la souscription d’une assurance responsabilité civile </w:t>
      </w:r>
      <w:r w:rsidRPr="0005633B">
        <w:rPr>
          <w:color w:val="000000" w:themeColor="text1"/>
          <w:sz w:val="23"/>
          <w:szCs w:val="23"/>
          <w:lang w:val="fr-FR"/>
        </w:rPr>
        <w:t>professionnelles</w:t>
      </w:r>
      <w:r w:rsidRPr="0005633B">
        <w:rPr>
          <w:sz w:val="23"/>
          <w:szCs w:val="23"/>
          <w:lang w:val="fr-FR"/>
        </w:rPr>
        <w:t>. Ces clauses ne sont pas opposables aux victimes.</w:t>
      </w:r>
      <w:r w:rsidR="00382F6A" w:rsidRPr="0005633B">
        <w:rPr>
          <w:sz w:val="23"/>
          <w:szCs w:val="23"/>
          <w:lang w:val="fr-FR"/>
        </w:rPr>
        <w:t xml:space="preserve"> De plus, toute clause visant à exclure ou limiter cette solidarité à l’égard des tiers est réputée non écrite. </w:t>
      </w:r>
    </w:p>
    <w:p w14:paraId="0F477054" w14:textId="77777777" w:rsidR="00131466" w:rsidRPr="0005633B" w:rsidRDefault="00131466" w:rsidP="00592A8D">
      <w:pPr>
        <w:jc w:val="both"/>
        <w:rPr>
          <w:sz w:val="23"/>
          <w:szCs w:val="23"/>
          <w:lang w:val="fr-FR"/>
        </w:rPr>
      </w:pPr>
    </w:p>
    <w:p w14:paraId="010AD66F" w14:textId="46EF860F" w:rsidR="00131466" w:rsidRPr="0005633B" w:rsidRDefault="00131466" w:rsidP="00592A8D">
      <w:pPr>
        <w:jc w:val="both"/>
        <w:rPr>
          <w:sz w:val="23"/>
          <w:szCs w:val="23"/>
          <w:lang w:val="fr-FR"/>
        </w:rPr>
      </w:pPr>
      <w:r w:rsidRPr="0005633B">
        <w:rPr>
          <w:sz w:val="23"/>
          <w:szCs w:val="23"/>
          <w:lang w:val="fr-FR"/>
        </w:rPr>
        <w:t>Le contrat d’influence constitue un pilier de la régulation de l’influence commerciale. Cela permet de sécuriser juridiquement les relations entre influenceurs, agents et annonceurs en renforçant la protection des consommateurs face aux dérives du secteur.</w:t>
      </w:r>
      <w:r w:rsidR="0005633B" w:rsidRPr="0005633B">
        <w:rPr>
          <w:rStyle w:val="Appelnotedebasdep"/>
          <w:sz w:val="23"/>
          <w:szCs w:val="23"/>
          <w:lang w:val="fr-FR"/>
        </w:rPr>
        <w:footnoteReference w:id="11"/>
      </w:r>
      <w:r w:rsidRPr="0005633B">
        <w:rPr>
          <w:sz w:val="23"/>
          <w:szCs w:val="23"/>
          <w:lang w:val="fr-FR"/>
        </w:rPr>
        <w:t xml:space="preserve"> </w:t>
      </w:r>
    </w:p>
    <w:p w14:paraId="637E090F" w14:textId="77777777" w:rsidR="00F65326" w:rsidRPr="00350269" w:rsidRDefault="00F65326" w:rsidP="00F653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Times New Roman" w:hAnsi="Times New Roman" w:cs="Times New Roman"/>
          <w:color w:val="000000"/>
          <w:kern w:val="0"/>
          <w:sz w:val="22"/>
          <w:szCs w:val="22"/>
          <w:lang w:val="fr-FR"/>
        </w:rPr>
      </w:pPr>
      <w:proofErr w:type="spellStart"/>
      <w:r w:rsidRPr="00350269">
        <w:rPr>
          <w:rFonts w:ascii="Times New Roman" w:hAnsi="Times New Roman" w:cs="Times New Roman"/>
          <w:color w:val="000000"/>
          <w:kern w:val="0"/>
          <w:sz w:val="22"/>
          <w:szCs w:val="22"/>
          <w:lang w:val="fr-FR"/>
        </w:rPr>
        <w:t>Payet</w:t>
      </w:r>
      <w:proofErr w:type="spellEnd"/>
      <w:r w:rsidRPr="00350269">
        <w:rPr>
          <w:rFonts w:ascii="Times New Roman" w:hAnsi="Times New Roman" w:cs="Times New Roman"/>
          <w:color w:val="000000"/>
          <w:kern w:val="0"/>
          <w:sz w:val="22"/>
          <w:szCs w:val="22"/>
          <w:lang w:val="fr-FR"/>
        </w:rPr>
        <w:t xml:space="preserve"> </w:t>
      </w:r>
      <w:proofErr w:type="spellStart"/>
      <w:r w:rsidRPr="00350269">
        <w:rPr>
          <w:rFonts w:ascii="Times New Roman" w:hAnsi="Times New Roman" w:cs="Times New Roman"/>
          <w:color w:val="000000"/>
          <w:kern w:val="0"/>
          <w:sz w:val="22"/>
          <w:szCs w:val="22"/>
          <w:lang w:val="fr-FR"/>
        </w:rPr>
        <w:t>Emilie</w:t>
      </w:r>
      <w:proofErr w:type="spellEnd"/>
    </w:p>
    <w:p w14:paraId="752E79EF" w14:textId="77777777" w:rsidR="00F65326" w:rsidRPr="00350269" w:rsidRDefault="00F65326" w:rsidP="00F653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Times New Roman" w:hAnsi="Times New Roman" w:cs="Times New Roman"/>
          <w:color w:val="000000"/>
          <w:kern w:val="0"/>
          <w:sz w:val="22"/>
          <w:szCs w:val="22"/>
          <w:lang w:val="fr-FR"/>
        </w:rPr>
      </w:pPr>
      <w:r w:rsidRPr="00350269">
        <w:rPr>
          <w:rFonts w:ascii="Times New Roman" w:hAnsi="Times New Roman" w:cs="Times New Roman"/>
          <w:color w:val="000000"/>
          <w:kern w:val="0"/>
          <w:sz w:val="22"/>
          <w:szCs w:val="22"/>
          <w:lang w:val="fr-FR"/>
        </w:rPr>
        <w:t>M2 Droits des Industries Culturelles et</w:t>
      </w:r>
    </w:p>
    <w:p w14:paraId="1308BED6" w14:textId="77777777" w:rsidR="00F65326" w:rsidRPr="00350269" w:rsidRDefault="00F65326" w:rsidP="00F653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Times New Roman" w:hAnsi="Times New Roman" w:cs="Times New Roman"/>
          <w:color w:val="000000"/>
          <w:kern w:val="0"/>
          <w:sz w:val="22"/>
          <w:szCs w:val="22"/>
          <w:lang w:val="fr-FR"/>
        </w:rPr>
      </w:pPr>
      <w:r w:rsidRPr="00350269">
        <w:rPr>
          <w:rFonts w:ascii="Times New Roman" w:hAnsi="Times New Roman" w:cs="Times New Roman"/>
          <w:color w:val="000000"/>
          <w:kern w:val="0"/>
          <w:sz w:val="22"/>
          <w:szCs w:val="22"/>
          <w:lang w:val="fr-FR"/>
        </w:rPr>
        <w:t>Créatives</w:t>
      </w:r>
    </w:p>
    <w:p w14:paraId="518DD8B4" w14:textId="77777777" w:rsidR="00F65326" w:rsidRPr="00350269" w:rsidRDefault="00F65326" w:rsidP="00F653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Times New Roman" w:hAnsi="Times New Roman" w:cs="Times New Roman"/>
          <w:color w:val="000000"/>
          <w:kern w:val="0"/>
          <w:sz w:val="22"/>
          <w:szCs w:val="22"/>
          <w:lang w:val="fr-FR"/>
        </w:rPr>
      </w:pPr>
      <w:r w:rsidRPr="00350269">
        <w:rPr>
          <w:rFonts w:ascii="Times New Roman" w:hAnsi="Times New Roman" w:cs="Times New Roman"/>
          <w:color w:val="000000"/>
          <w:kern w:val="0"/>
          <w:sz w:val="22"/>
          <w:szCs w:val="22"/>
          <w:lang w:val="fr-FR"/>
        </w:rPr>
        <w:t>Aix-Marseille Université</w:t>
      </w:r>
    </w:p>
    <w:p w14:paraId="49BF5DBD" w14:textId="77777777" w:rsidR="00F65326" w:rsidRPr="00350269" w:rsidRDefault="00F65326" w:rsidP="000563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240"/>
        <w:jc w:val="right"/>
        <w:rPr>
          <w:rFonts w:ascii="Times New Roman" w:hAnsi="Times New Roman" w:cs="Times New Roman"/>
          <w:color w:val="000000"/>
          <w:kern w:val="0"/>
          <w:sz w:val="22"/>
          <w:szCs w:val="22"/>
          <w:lang w:val="fr-FR"/>
        </w:rPr>
      </w:pPr>
      <w:r w:rsidRPr="00350269">
        <w:rPr>
          <w:rFonts w:ascii="Times New Roman" w:hAnsi="Times New Roman" w:cs="Times New Roman"/>
          <w:color w:val="000000"/>
          <w:kern w:val="0"/>
          <w:sz w:val="22"/>
          <w:szCs w:val="22"/>
          <w:lang w:val="fr-FR"/>
        </w:rPr>
        <w:lastRenderedPageBreak/>
        <w:t>Faculté de droit</w:t>
      </w:r>
    </w:p>
    <w:p w14:paraId="4D7BE829" w14:textId="77777777" w:rsidR="00F65326" w:rsidRPr="00350269" w:rsidRDefault="00F65326" w:rsidP="000563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240"/>
        <w:jc w:val="right"/>
        <w:rPr>
          <w:rFonts w:ascii="Times New Roman" w:hAnsi="Times New Roman" w:cs="Times New Roman"/>
          <w:color w:val="000000"/>
          <w:kern w:val="0"/>
          <w:sz w:val="22"/>
          <w:szCs w:val="22"/>
          <w:lang w:val="fr-FR"/>
        </w:rPr>
      </w:pPr>
      <w:r w:rsidRPr="00350269">
        <w:rPr>
          <w:rFonts w:ascii="Times New Roman" w:hAnsi="Times New Roman" w:cs="Times New Roman"/>
          <w:color w:val="000000"/>
          <w:kern w:val="0"/>
          <w:sz w:val="22"/>
          <w:szCs w:val="22"/>
          <w:lang w:val="fr-FR"/>
        </w:rPr>
        <w:t>Année 2025-2026</w:t>
      </w:r>
    </w:p>
    <w:p w14:paraId="13855256" w14:textId="25865832" w:rsidR="00131466" w:rsidRPr="00350269" w:rsidRDefault="00F65326" w:rsidP="0005633B">
      <w:pPr>
        <w:spacing w:after="0"/>
        <w:ind w:left="2240"/>
        <w:jc w:val="right"/>
        <w:rPr>
          <w:sz w:val="22"/>
          <w:szCs w:val="22"/>
          <w:lang w:val="fr-FR"/>
        </w:rPr>
      </w:pPr>
      <w:r w:rsidRPr="00350269">
        <w:rPr>
          <w:rFonts w:ascii="Times New Roman" w:hAnsi="Times New Roman" w:cs="Times New Roman"/>
          <w:color w:val="000000"/>
          <w:kern w:val="0"/>
          <w:sz w:val="22"/>
          <w:szCs w:val="22"/>
          <w:lang w:val="fr-FR"/>
        </w:rPr>
        <w:t>LID2MS-IREDIC</w:t>
      </w:r>
    </w:p>
    <w:p w14:paraId="34A6FA74" w14:textId="77777777" w:rsidR="0005633B" w:rsidRPr="0005633B" w:rsidRDefault="0005633B">
      <w:pPr>
        <w:spacing w:after="0"/>
        <w:ind w:left="2240"/>
        <w:jc w:val="right"/>
        <w:rPr>
          <w:sz w:val="22"/>
          <w:szCs w:val="22"/>
          <w:lang w:val="fr-FR"/>
        </w:rPr>
      </w:pPr>
    </w:p>
    <w:sectPr w:rsidR="0005633B" w:rsidRPr="0005633B" w:rsidSect="00F65326">
      <w:footerReference w:type="default" r:id="rId7"/>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6AABF" w14:textId="77777777" w:rsidR="00943643" w:rsidRDefault="00943643" w:rsidP="00F65326">
      <w:pPr>
        <w:spacing w:after="0" w:line="240" w:lineRule="auto"/>
      </w:pPr>
      <w:r>
        <w:separator/>
      </w:r>
    </w:p>
  </w:endnote>
  <w:endnote w:type="continuationSeparator" w:id="0">
    <w:p w14:paraId="1745BDD8" w14:textId="77777777" w:rsidR="00943643" w:rsidRDefault="00943643" w:rsidP="00F6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F8F95" w14:textId="3C5B6DDC" w:rsidR="00F65326" w:rsidRDefault="00F65326" w:rsidP="00F65326">
    <w:pPr>
      <w:pStyle w:val="Pieddepage"/>
      <w:jc w:val="center"/>
    </w:pPr>
    <w:r>
      <w:fldChar w:fldCharType="begin"/>
    </w:r>
    <w:r>
      <w:instrText xml:space="preserve"> INCLUDEPICTURE "/Users/payetemilie/Library/Group Containers/UBF8T346G9.ms/WebArchiveCopyPasteTempFiles/com.microsoft.Word/by-nc-sa.eu_.png" \* MERGEFORMATINET </w:instrText>
    </w:r>
    <w:r>
      <w:fldChar w:fldCharType="separate"/>
    </w:r>
    <w:r>
      <w:rPr>
        <w:noProof/>
      </w:rPr>
      <w:drawing>
        <wp:inline distT="0" distB="0" distL="0" distR="0" wp14:anchorId="1A926405" wp14:editId="7D13D826">
          <wp:extent cx="317962" cy="173990"/>
          <wp:effectExtent l="0" t="0" r="0" b="3810"/>
          <wp:docPr id="802804454" name="Image 2" descr="Logo de la licence CC-BY-N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de la licence CC-BY-NC-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9241" cy="251299"/>
                  </a:xfrm>
                  <a:prstGeom prst="rect">
                    <a:avLst/>
                  </a:prstGeom>
                  <a:noFill/>
                  <a:ln>
                    <a:noFill/>
                  </a:ln>
                </pic:spPr>
              </pic:pic>
            </a:graphicData>
          </a:graphic>
        </wp:inline>
      </w:drawing>
    </w:r>
    <w:r>
      <w:fldChar w:fldCharType="end"/>
    </w:r>
  </w:p>
  <w:p w14:paraId="34E7A997" w14:textId="4DF40872" w:rsidR="00F65326" w:rsidRDefault="00F65326" w:rsidP="00F653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hAnsi="Arial" w:cs="Arial"/>
        <w:color w:val="182563"/>
        <w:kern w:val="0"/>
        <w:sz w:val="15"/>
        <w:szCs w:val="15"/>
        <w:lang w:val="fr-FR"/>
      </w:rPr>
    </w:pPr>
    <w:r>
      <w:rPr>
        <w:rFonts w:ascii="Arial" w:hAnsi="Arial" w:cs="Arial"/>
        <w:color w:val="1D1D1D"/>
        <w:kern w:val="0"/>
        <w:sz w:val="15"/>
        <w:szCs w:val="15"/>
        <w:lang w:val="fr-FR"/>
      </w:rPr>
      <w:t xml:space="preserve">Cette création par </w:t>
    </w:r>
    <w:r>
      <w:rPr>
        <w:rFonts w:ascii="Arial" w:hAnsi="Arial" w:cs="Arial"/>
        <w:color w:val="182563"/>
        <w:kern w:val="0"/>
        <w:sz w:val="15"/>
        <w:szCs w:val="15"/>
        <w:lang w:val="fr-FR"/>
      </w:rPr>
      <w:t>LID2MS-IREDIC</w:t>
    </w:r>
    <w:r>
      <w:rPr>
        <w:rFonts w:ascii="Arial" w:hAnsi="Arial" w:cs="Arial"/>
        <w:color w:val="1D1D1D"/>
        <w:kern w:val="0"/>
        <w:sz w:val="15"/>
        <w:szCs w:val="15"/>
        <w:lang w:val="fr-FR"/>
      </w:rPr>
      <w:t xml:space="preserve"> est mise à disposition selon les termes de la </w:t>
    </w:r>
    <w:r>
      <w:rPr>
        <w:rFonts w:ascii="Arial" w:hAnsi="Arial" w:cs="Arial"/>
        <w:color w:val="182563"/>
        <w:kern w:val="0"/>
        <w:sz w:val="15"/>
        <w:szCs w:val="15"/>
        <w:lang w:val="fr-FR"/>
      </w:rPr>
      <w:t xml:space="preserve">licence Creative Commons Paternité – Pas d'Utilisation Commerciale – Pas de modification 2.0 France. </w:t>
    </w:r>
  </w:p>
  <w:p w14:paraId="201DDE58" w14:textId="77777777" w:rsidR="00F65326" w:rsidRDefault="00F65326" w:rsidP="00F65326">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8678E" w14:textId="77777777" w:rsidR="00943643" w:rsidRDefault="00943643" w:rsidP="00F65326">
      <w:pPr>
        <w:spacing w:after="0" w:line="240" w:lineRule="auto"/>
      </w:pPr>
      <w:r>
        <w:separator/>
      </w:r>
    </w:p>
  </w:footnote>
  <w:footnote w:type="continuationSeparator" w:id="0">
    <w:p w14:paraId="5DCAEA7E" w14:textId="77777777" w:rsidR="00943643" w:rsidRDefault="00943643" w:rsidP="00F65326">
      <w:pPr>
        <w:spacing w:after="0" w:line="240" w:lineRule="auto"/>
      </w:pPr>
      <w:r>
        <w:continuationSeparator/>
      </w:r>
    </w:p>
  </w:footnote>
  <w:footnote w:id="1">
    <w:p w14:paraId="66B1038A" w14:textId="7522CA68" w:rsidR="005B683B" w:rsidRPr="0005633B" w:rsidRDefault="005B683B">
      <w:pPr>
        <w:pStyle w:val="Notedebasdepage"/>
        <w:rPr>
          <w:sz w:val="16"/>
          <w:szCs w:val="16"/>
          <w:lang w:val="fr-FR"/>
        </w:rPr>
      </w:pPr>
      <w:r w:rsidRPr="0005633B">
        <w:rPr>
          <w:rStyle w:val="Appelnotedebasdep"/>
          <w:sz w:val="16"/>
          <w:szCs w:val="16"/>
        </w:rPr>
        <w:footnoteRef/>
      </w:r>
      <w:r w:rsidRPr="0005633B">
        <w:rPr>
          <w:sz w:val="16"/>
          <w:szCs w:val="16"/>
        </w:rPr>
        <w:t xml:space="preserve"> </w:t>
      </w:r>
      <w:r w:rsidR="0005633B" w:rsidRPr="0005633B">
        <w:rPr>
          <w:color w:val="000000"/>
          <w:sz w:val="16"/>
          <w:szCs w:val="16"/>
        </w:rPr>
        <w:t>Loi n°2023-451 du 9 juin 2023, art. 1, Journal officiel, 10 juin 2023</w:t>
      </w:r>
    </w:p>
  </w:footnote>
  <w:footnote w:id="2">
    <w:p w14:paraId="0B7491B9" w14:textId="5509D647" w:rsidR="005B683B" w:rsidRPr="0005633B" w:rsidRDefault="005B683B">
      <w:pPr>
        <w:pStyle w:val="Notedebasdepage"/>
        <w:rPr>
          <w:sz w:val="16"/>
          <w:szCs w:val="16"/>
          <w:lang w:val="fr-FR"/>
        </w:rPr>
      </w:pPr>
      <w:r w:rsidRPr="0005633B">
        <w:rPr>
          <w:rStyle w:val="Appelnotedebasdep"/>
          <w:sz w:val="16"/>
          <w:szCs w:val="16"/>
        </w:rPr>
        <w:footnoteRef/>
      </w:r>
      <w:r w:rsidRPr="0005633B">
        <w:rPr>
          <w:sz w:val="16"/>
          <w:szCs w:val="16"/>
        </w:rPr>
        <w:t xml:space="preserve"> </w:t>
      </w:r>
      <w:r w:rsidR="0005633B" w:rsidRPr="0005633B">
        <w:rPr>
          <w:color w:val="000000"/>
          <w:sz w:val="16"/>
          <w:szCs w:val="16"/>
        </w:rPr>
        <w:t>Xavier Delpech,</w:t>
      </w:r>
      <w:r w:rsidR="0005633B" w:rsidRPr="0005633B">
        <w:rPr>
          <w:rStyle w:val="apple-converted-space"/>
          <w:color w:val="000000"/>
          <w:sz w:val="16"/>
          <w:szCs w:val="16"/>
        </w:rPr>
        <w:t> </w:t>
      </w:r>
      <w:r w:rsidR="0005633B" w:rsidRPr="0005633B">
        <w:rPr>
          <w:rStyle w:val="Accentuation"/>
          <w:color w:val="000000"/>
          <w:sz w:val="16"/>
          <w:szCs w:val="16"/>
        </w:rPr>
        <w:t>Internet - Influence commerciale : contrat écrit conclu avec un agent d’influenceur</w:t>
      </w:r>
      <w:r w:rsidR="0005633B" w:rsidRPr="0005633B">
        <w:rPr>
          <w:color w:val="000000"/>
          <w:sz w:val="16"/>
          <w:szCs w:val="16"/>
        </w:rPr>
        <w:t>, JT, 2026, n°292, p.7</w:t>
      </w:r>
    </w:p>
  </w:footnote>
  <w:footnote w:id="3">
    <w:p w14:paraId="7C0EFA77" w14:textId="2D2C2005" w:rsidR="005B683B" w:rsidRPr="0005633B" w:rsidRDefault="005B683B">
      <w:pPr>
        <w:pStyle w:val="Notedebasdepage"/>
        <w:rPr>
          <w:sz w:val="16"/>
          <w:szCs w:val="16"/>
          <w:lang w:val="fr-FR"/>
        </w:rPr>
      </w:pPr>
      <w:r w:rsidRPr="0005633B">
        <w:rPr>
          <w:rStyle w:val="Appelnotedebasdep"/>
          <w:sz w:val="16"/>
          <w:szCs w:val="16"/>
        </w:rPr>
        <w:footnoteRef/>
      </w:r>
      <w:r w:rsidRPr="0005633B">
        <w:rPr>
          <w:sz w:val="16"/>
          <w:szCs w:val="16"/>
        </w:rPr>
        <w:t xml:space="preserve"> </w:t>
      </w:r>
      <w:r w:rsidR="0005633B" w:rsidRPr="0005633B">
        <w:rPr>
          <w:color w:val="000000"/>
          <w:sz w:val="16"/>
          <w:szCs w:val="16"/>
        </w:rPr>
        <w:t xml:space="preserve">Luc </w:t>
      </w:r>
      <w:proofErr w:type="spellStart"/>
      <w:r w:rsidR="0005633B" w:rsidRPr="0005633B">
        <w:rPr>
          <w:color w:val="000000"/>
          <w:sz w:val="16"/>
          <w:szCs w:val="16"/>
        </w:rPr>
        <w:t>Grynbaum</w:t>
      </w:r>
      <w:proofErr w:type="spellEnd"/>
      <w:r w:rsidR="0005633B" w:rsidRPr="0005633B">
        <w:rPr>
          <w:color w:val="000000"/>
          <w:sz w:val="16"/>
          <w:szCs w:val="16"/>
        </w:rPr>
        <w:t>,</w:t>
      </w:r>
      <w:r w:rsidR="0005633B" w:rsidRPr="0005633B">
        <w:rPr>
          <w:rStyle w:val="apple-converted-space"/>
          <w:color w:val="000000"/>
          <w:sz w:val="16"/>
          <w:szCs w:val="16"/>
        </w:rPr>
        <w:t> </w:t>
      </w:r>
      <w:r w:rsidR="0005633B" w:rsidRPr="0005633B">
        <w:rPr>
          <w:rStyle w:val="Accentuation"/>
          <w:color w:val="000000"/>
          <w:sz w:val="16"/>
          <w:szCs w:val="16"/>
        </w:rPr>
        <w:t>Droit des activités numériques</w:t>
      </w:r>
      <w:r w:rsidR="0005633B" w:rsidRPr="0005633B">
        <w:rPr>
          <w:color w:val="000000"/>
          <w:sz w:val="16"/>
          <w:szCs w:val="16"/>
        </w:rPr>
        <w:t>, Chapitre 2, 2023.</w:t>
      </w:r>
    </w:p>
  </w:footnote>
  <w:footnote w:id="4">
    <w:p w14:paraId="60819757" w14:textId="42CE57C5" w:rsidR="005B683B" w:rsidRPr="0005633B" w:rsidRDefault="005B683B">
      <w:pPr>
        <w:pStyle w:val="Notedebasdepage"/>
        <w:rPr>
          <w:sz w:val="16"/>
          <w:szCs w:val="16"/>
          <w:lang w:val="fr-FR"/>
        </w:rPr>
      </w:pPr>
      <w:r w:rsidRPr="0005633B">
        <w:rPr>
          <w:rStyle w:val="Appelnotedebasdep"/>
          <w:sz w:val="16"/>
          <w:szCs w:val="16"/>
        </w:rPr>
        <w:footnoteRef/>
      </w:r>
      <w:r w:rsidRPr="0005633B">
        <w:rPr>
          <w:sz w:val="16"/>
          <w:szCs w:val="16"/>
        </w:rPr>
        <w:t xml:space="preserve"> </w:t>
      </w:r>
      <w:r w:rsidR="0005633B" w:rsidRPr="0005633B">
        <w:rPr>
          <w:color w:val="000000"/>
          <w:sz w:val="16"/>
          <w:szCs w:val="16"/>
        </w:rPr>
        <w:t>Loi n°2023-451 du 9 juin 2023, art. 8.</w:t>
      </w:r>
    </w:p>
  </w:footnote>
  <w:footnote w:id="5">
    <w:p w14:paraId="618FCCE7" w14:textId="1FA6DB86" w:rsidR="005B683B" w:rsidRPr="005B683B" w:rsidRDefault="005B683B">
      <w:pPr>
        <w:pStyle w:val="Notedebasdepage"/>
        <w:rPr>
          <w:lang w:val="fr-FR"/>
        </w:rPr>
      </w:pPr>
      <w:r w:rsidRPr="0005633B">
        <w:rPr>
          <w:rStyle w:val="Appelnotedebasdep"/>
          <w:sz w:val="16"/>
          <w:szCs w:val="16"/>
        </w:rPr>
        <w:footnoteRef/>
      </w:r>
      <w:r w:rsidRPr="0005633B">
        <w:rPr>
          <w:sz w:val="16"/>
          <w:szCs w:val="16"/>
        </w:rPr>
        <w:t xml:space="preserve"> </w:t>
      </w:r>
      <w:r w:rsidR="0005633B" w:rsidRPr="0005633B">
        <w:rPr>
          <w:color w:val="000000"/>
          <w:sz w:val="16"/>
          <w:szCs w:val="16"/>
        </w:rPr>
        <w:t>Décret n°2025-1137 du 28 novembre 2025</w:t>
      </w:r>
    </w:p>
  </w:footnote>
  <w:footnote w:id="6">
    <w:p w14:paraId="08D73084" w14:textId="728F0C38" w:rsidR="005B683B" w:rsidRPr="0005633B" w:rsidRDefault="005B683B">
      <w:pPr>
        <w:pStyle w:val="Notedebasdepage"/>
        <w:rPr>
          <w:sz w:val="16"/>
          <w:szCs w:val="16"/>
          <w:lang w:val="fr-FR"/>
        </w:rPr>
      </w:pPr>
      <w:r w:rsidRPr="0005633B">
        <w:rPr>
          <w:rStyle w:val="Appelnotedebasdep"/>
          <w:sz w:val="16"/>
          <w:szCs w:val="16"/>
        </w:rPr>
        <w:footnoteRef/>
      </w:r>
      <w:r w:rsidR="0005633B" w:rsidRPr="0005633B">
        <w:rPr>
          <w:sz w:val="16"/>
          <w:szCs w:val="16"/>
          <w:lang w:val="fr-FR"/>
        </w:rPr>
        <w:t xml:space="preserve"> </w:t>
      </w:r>
      <w:r w:rsidR="0005633B" w:rsidRPr="0005633B">
        <w:rPr>
          <w:color w:val="000000"/>
          <w:sz w:val="16"/>
          <w:szCs w:val="16"/>
        </w:rPr>
        <w:t>Loi n°2023-451 du 9 juin 2023, art. 1.</w:t>
      </w:r>
    </w:p>
  </w:footnote>
  <w:footnote w:id="7">
    <w:p w14:paraId="24F354ED" w14:textId="05A5F3E0" w:rsidR="0005633B" w:rsidRPr="0005633B" w:rsidRDefault="0005633B">
      <w:pPr>
        <w:pStyle w:val="Notedebasdepage"/>
        <w:rPr>
          <w:sz w:val="16"/>
          <w:szCs w:val="16"/>
          <w:lang w:val="fr-FR"/>
        </w:rPr>
      </w:pPr>
      <w:r w:rsidRPr="0005633B">
        <w:rPr>
          <w:rStyle w:val="Appelnotedebasdep"/>
          <w:sz w:val="16"/>
          <w:szCs w:val="16"/>
        </w:rPr>
        <w:footnoteRef/>
      </w:r>
      <w:r w:rsidRPr="0005633B">
        <w:rPr>
          <w:sz w:val="16"/>
          <w:szCs w:val="16"/>
        </w:rPr>
        <w:t xml:space="preserve"> </w:t>
      </w:r>
      <w:r w:rsidRPr="0005633B">
        <w:rPr>
          <w:color w:val="000000"/>
          <w:sz w:val="16"/>
          <w:szCs w:val="16"/>
        </w:rPr>
        <w:t xml:space="preserve">Sophie </w:t>
      </w:r>
      <w:proofErr w:type="spellStart"/>
      <w:r w:rsidRPr="0005633B">
        <w:rPr>
          <w:color w:val="000000"/>
          <w:sz w:val="16"/>
          <w:szCs w:val="16"/>
        </w:rPr>
        <w:t>Soubelet-Caroit</w:t>
      </w:r>
      <w:proofErr w:type="spellEnd"/>
      <w:r w:rsidRPr="0005633B">
        <w:rPr>
          <w:color w:val="000000"/>
          <w:sz w:val="16"/>
          <w:szCs w:val="16"/>
        </w:rPr>
        <w:t>,</w:t>
      </w:r>
      <w:r w:rsidRPr="0005633B">
        <w:rPr>
          <w:rStyle w:val="apple-converted-space"/>
          <w:color w:val="000000"/>
          <w:sz w:val="16"/>
          <w:szCs w:val="16"/>
        </w:rPr>
        <w:t> </w:t>
      </w:r>
      <w:proofErr w:type="spellStart"/>
      <w:r w:rsidRPr="0005633B">
        <w:rPr>
          <w:rStyle w:val="Accentuation"/>
          <w:color w:val="000000"/>
          <w:sz w:val="16"/>
          <w:szCs w:val="16"/>
        </w:rPr>
        <w:t>Cyberdroit</w:t>
      </w:r>
      <w:proofErr w:type="spellEnd"/>
      <w:r w:rsidRPr="0005633B">
        <w:rPr>
          <w:color w:val="000000"/>
          <w:sz w:val="16"/>
          <w:szCs w:val="16"/>
        </w:rPr>
        <w:t>, Section 2 – Spécificités de la publicité en ligne, 2026/2027.</w:t>
      </w:r>
    </w:p>
  </w:footnote>
  <w:footnote w:id="8">
    <w:p w14:paraId="326CCA99" w14:textId="3177391D" w:rsidR="0005633B" w:rsidRPr="0005633B" w:rsidRDefault="0005633B">
      <w:pPr>
        <w:pStyle w:val="Notedebasdepage"/>
        <w:rPr>
          <w:sz w:val="16"/>
          <w:szCs w:val="16"/>
          <w:lang w:val="fr-FR"/>
        </w:rPr>
      </w:pPr>
      <w:r w:rsidRPr="0005633B">
        <w:rPr>
          <w:rStyle w:val="Appelnotedebasdep"/>
          <w:sz w:val="16"/>
          <w:szCs w:val="16"/>
        </w:rPr>
        <w:footnoteRef/>
      </w:r>
      <w:r w:rsidRPr="0005633B">
        <w:rPr>
          <w:sz w:val="16"/>
          <w:szCs w:val="16"/>
        </w:rPr>
        <w:t xml:space="preserve"> </w:t>
      </w:r>
      <w:r w:rsidRPr="0005633B">
        <w:rPr>
          <w:color w:val="000000"/>
          <w:sz w:val="16"/>
          <w:szCs w:val="16"/>
        </w:rPr>
        <w:t>Loi n°2023-451 du 9 juin 2023, art. 8.</w:t>
      </w:r>
    </w:p>
  </w:footnote>
  <w:footnote w:id="9">
    <w:p w14:paraId="7C58739C" w14:textId="3D97C02B" w:rsidR="0005633B" w:rsidRPr="0005633B" w:rsidRDefault="0005633B">
      <w:pPr>
        <w:pStyle w:val="Notedebasdepage"/>
        <w:rPr>
          <w:sz w:val="16"/>
          <w:szCs w:val="16"/>
          <w:lang w:val="fr-FR"/>
        </w:rPr>
      </w:pPr>
      <w:r w:rsidRPr="0005633B">
        <w:rPr>
          <w:rStyle w:val="Appelnotedebasdep"/>
          <w:sz w:val="16"/>
          <w:szCs w:val="16"/>
        </w:rPr>
        <w:footnoteRef/>
      </w:r>
      <w:r w:rsidRPr="0005633B">
        <w:rPr>
          <w:sz w:val="16"/>
          <w:szCs w:val="16"/>
        </w:rPr>
        <w:t xml:space="preserve"> </w:t>
      </w:r>
      <w:r w:rsidRPr="0005633B">
        <w:rPr>
          <w:color w:val="000000"/>
          <w:sz w:val="16"/>
          <w:szCs w:val="16"/>
        </w:rPr>
        <w:t>Xavier Delpech,</w:t>
      </w:r>
      <w:r w:rsidRPr="0005633B">
        <w:rPr>
          <w:rStyle w:val="apple-converted-space"/>
          <w:color w:val="000000"/>
          <w:sz w:val="16"/>
          <w:szCs w:val="16"/>
        </w:rPr>
        <w:t> </w:t>
      </w:r>
      <w:r w:rsidRPr="0005633B">
        <w:rPr>
          <w:rStyle w:val="Accentuation"/>
          <w:color w:val="000000"/>
          <w:sz w:val="16"/>
          <w:szCs w:val="16"/>
        </w:rPr>
        <w:t>Internet - Influence commerciale : contrat écrit conclu avec un agent d’influenceur</w:t>
      </w:r>
      <w:r w:rsidRPr="0005633B">
        <w:rPr>
          <w:color w:val="000000"/>
          <w:sz w:val="16"/>
          <w:szCs w:val="16"/>
        </w:rPr>
        <w:t>, JT, 2026, n°292, p.7.</w:t>
      </w:r>
    </w:p>
  </w:footnote>
  <w:footnote w:id="10">
    <w:p w14:paraId="28B58680" w14:textId="7AE305AA" w:rsidR="0005633B" w:rsidRPr="0005633B" w:rsidRDefault="0005633B">
      <w:pPr>
        <w:pStyle w:val="Notedebasdepage"/>
        <w:rPr>
          <w:lang w:val="fr-FR"/>
        </w:rPr>
      </w:pPr>
      <w:r w:rsidRPr="0005633B">
        <w:rPr>
          <w:rStyle w:val="Appelnotedebasdep"/>
          <w:sz w:val="16"/>
          <w:szCs w:val="16"/>
        </w:rPr>
        <w:footnoteRef/>
      </w:r>
      <w:r w:rsidRPr="0005633B">
        <w:rPr>
          <w:sz w:val="16"/>
          <w:szCs w:val="16"/>
        </w:rPr>
        <w:t xml:space="preserve"> </w:t>
      </w:r>
      <w:r w:rsidRPr="0005633B">
        <w:rPr>
          <w:color w:val="000000"/>
          <w:sz w:val="16"/>
          <w:szCs w:val="16"/>
        </w:rPr>
        <w:t xml:space="preserve">Luc </w:t>
      </w:r>
      <w:proofErr w:type="spellStart"/>
      <w:r w:rsidRPr="0005633B">
        <w:rPr>
          <w:color w:val="000000"/>
          <w:sz w:val="16"/>
          <w:szCs w:val="16"/>
        </w:rPr>
        <w:t>Grynbaum</w:t>
      </w:r>
      <w:proofErr w:type="spellEnd"/>
      <w:r w:rsidRPr="0005633B">
        <w:rPr>
          <w:color w:val="000000"/>
          <w:sz w:val="16"/>
          <w:szCs w:val="16"/>
        </w:rPr>
        <w:t>,</w:t>
      </w:r>
      <w:r w:rsidRPr="0005633B">
        <w:rPr>
          <w:rStyle w:val="apple-converted-space"/>
          <w:color w:val="000000"/>
          <w:sz w:val="16"/>
          <w:szCs w:val="16"/>
        </w:rPr>
        <w:t> </w:t>
      </w:r>
      <w:r w:rsidRPr="0005633B">
        <w:rPr>
          <w:rStyle w:val="Accentuation"/>
          <w:color w:val="000000"/>
          <w:sz w:val="16"/>
          <w:szCs w:val="16"/>
        </w:rPr>
        <w:t>Droit des activités numériques</w:t>
      </w:r>
      <w:r w:rsidRPr="0005633B">
        <w:rPr>
          <w:color w:val="000000"/>
          <w:sz w:val="16"/>
          <w:szCs w:val="16"/>
        </w:rPr>
        <w:t>, Chapitre 2, 2023</w:t>
      </w:r>
    </w:p>
  </w:footnote>
  <w:footnote w:id="11">
    <w:p w14:paraId="6DF6C5A3" w14:textId="5616918C" w:rsidR="0005633B" w:rsidRPr="0005633B" w:rsidRDefault="0005633B">
      <w:pPr>
        <w:pStyle w:val="Notedebasdepage"/>
        <w:rPr>
          <w:lang w:val="fr-FR"/>
        </w:rPr>
      </w:pPr>
      <w:r>
        <w:rPr>
          <w:rStyle w:val="Appelnotedebasdep"/>
        </w:rPr>
        <w:footnoteRef/>
      </w:r>
      <w:r>
        <w:t xml:space="preserve"> </w:t>
      </w:r>
      <w:r w:rsidRPr="0005633B">
        <w:rPr>
          <w:color w:val="000000"/>
          <w:sz w:val="16"/>
          <w:szCs w:val="16"/>
        </w:rPr>
        <w:t>Xavier Leonetti,</w:t>
      </w:r>
      <w:r w:rsidRPr="0005633B">
        <w:rPr>
          <w:rStyle w:val="apple-converted-space"/>
          <w:color w:val="000000"/>
          <w:sz w:val="16"/>
          <w:szCs w:val="16"/>
        </w:rPr>
        <w:t> </w:t>
      </w:r>
      <w:proofErr w:type="spellStart"/>
      <w:r w:rsidRPr="0005633B">
        <w:rPr>
          <w:rStyle w:val="Accentuation"/>
          <w:color w:val="000000"/>
          <w:sz w:val="16"/>
          <w:szCs w:val="16"/>
        </w:rPr>
        <w:t>Cyberdroit</w:t>
      </w:r>
      <w:proofErr w:type="spellEnd"/>
      <w:r w:rsidRPr="0005633B">
        <w:rPr>
          <w:color w:val="000000"/>
          <w:sz w:val="16"/>
          <w:szCs w:val="16"/>
        </w:rPr>
        <w:t>, Section 1 – Fake news, 2026/2027.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24C05"/>
    <w:multiLevelType w:val="hybridMultilevel"/>
    <w:tmpl w:val="0F0A40D8"/>
    <w:lvl w:ilvl="0" w:tplc="CC74130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75045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6A5"/>
    <w:rsid w:val="00022377"/>
    <w:rsid w:val="00026593"/>
    <w:rsid w:val="0005633B"/>
    <w:rsid w:val="00105C40"/>
    <w:rsid w:val="0011064F"/>
    <w:rsid w:val="00131466"/>
    <w:rsid w:val="00185937"/>
    <w:rsid w:val="001E0B94"/>
    <w:rsid w:val="00301A67"/>
    <w:rsid w:val="00322E13"/>
    <w:rsid w:val="003306A5"/>
    <w:rsid w:val="00350269"/>
    <w:rsid w:val="00360F66"/>
    <w:rsid w:val="00382F6A"/>
    <w:rsid w:val="003D4CD3"/>
    <w:rsid w:val="003E15BB"/>
    <w:rsid w:val="003F487F"/>
    <w:rsid w:val="0041742C"/>
    <w:rsid w:val="00592A8D"/>
    <w:rsid w:val="005B683B"/>
    <w:rsid w:val="005F7E50"/>
    <w:rsid w:val="006040A8"/>
    <w:rsid w:val="00614744"/>
    <w:rsid w:val="00617882"/>
    <w:rsid w:val="00647A65"/>
    <w:rsid w:val="006E6D12"/>
    <w:rsid w:val="00785489"/>
    <w:rsid w:val="00804472"/>
    <w:rsid w:val="0080751A"/>
    <w:rsid w:val="00813349"/>
    <w:rsid w:val="00943643"/>
    <w:rsid w:val="00A53DE3"/>
    <w:rsid w:val="00AD2CA3"/>
    <w:rsid w:val="00B54BA0"/>
    <w:rsid w:val="00B65E4A"/>
    <w:rsid w:val="00D2315A"/>
    <w:rsid w:val="00D95157"/>
    <w:rsid w:val="00DD1319"/>
    <w:rsid w:val="00E33959"/>
    <w:rsid w:val="00E5792C"/>
    <w:rsid w:val="00EA711B"/>
    <w:rsid w:val="00EB77F4"/>
    <w:rsid w:val="00F032C8"/>
    <w:rsid w:val="00F3194C"/>
    <w:rsid w:val="00F65326"/>
    <w:rsid w:val="00F91C81"/>
    <w:rsid w:val="00F93776"/>
  </w:rsids>
  <m:mathPr>
    <m:mathFont m:val="Cambria Math"/>
    <m:brkBin m:val="before"/>
    <m:brkBinSub m:val="--"/>
    <m:smallFrac m:val="0"/>
    <m:dispDef/>
    <m:lMargin m:val="0"/>
    <m:rMargin m:val="0"/>
    <m:defJc m:val="centerGroup"/>
    <m:wrapIndent m:val="1440"/>
    <m:intLim m:val="subSup"/>
    <m:naryLim m:val="undOvr"/>
  </m:mathPr>
  <w:themeFontLang w:val="fr-R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AD4DE"/>
  <w15:chartTrackingRefBased/>
  <w15:docId w15:val="{9739C742-C9E5-B04F-B711-3AD7C02CE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R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30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30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306A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306A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306A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306A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306A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306A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306A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306A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306A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306A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306A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306A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306A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306A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306A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306A5"/>
    <w:rPr>
      <w:rFonts w:eastAsiaTheme="majorEastAsia" w:cstheme="majorBidi"/>
      <w:color w:val="272727" w:themeColor="text1" w:themeTint="D8"/>
    </w:rPr>
  </w:style>
  <w:style w:type="paragraph" w:styleId="Titre">
    <w:name w:val="Title"/>
    <w:basedOn w:val="Normal"/>
    <w:next w:val="Normal"/>
    <w:link w:val="TitreCar"/>
    <w:uiPriority w:val="10"/>
    <w:qFormat/>
    <w:rsid w:val="00330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306A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306A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306A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306A5"/>
    <w:pPr>
      <w:spacing w:before="160"/>
      <w:jc w:val="center"/>
    </w:pPr>
    <w:rPr>
      <w:i/>
      <w:iCs/>
      <w:color w:val="404040" w:themeColor="text1" w:themeTint="BF"/>
    </w:rPr>
  </w:style>
  <w:style w:type="character" w:customStyle="1" w:styleId="CitationCar">
    <w:name w:val="Citation Car"/>
    <w:basedOn w:val="Policepardfaut"/>
    <w:link w:val="Citation"/>
    <w:uiPriority w:val="29"/>
    <w:rsid w:val="003306A5"/>
    <w:rPr>
      <w:i/>
      <w:iCs/>
      <w:color w:val="404040" w:themeColor="text1" w:themeTint="BF"/>
    </w:rPr>
  </w:style>
  <w:style w:type="paragraph" w:styleId="Paragraphedeliste">
    <w:name w:val="List Paragraph"/>
    <w:basedOn w:val="Normal"/>
    <w:uiPriority w:val="34"/>
    <w:qFormat/>
    <w:rsid w:val="003306A5"/>
    <w:pPr>
      <w:ind w:left="720"/>
      <w:contextualSpacing/>
    </w:pPr>
  </w:style>
  <w:style w:type="character" w:styleId="Accentuationintense">
    <w:name w:val="Intense Emphasis"/>
    <w:basedOn w:val="Policepardfaut"/>
    <w:uiPriority w:val="21"/>
    <w:qFormat/>
    <w:rsid w:val="003306A5"/>
    <w:rPr>
      <w:i/>
      <w:iCs/>
      <w:color w:val="0F4761" w:themeColor="accent1" w:themeShade="BF"/>
    </w:rPr>
  </w:style>
  <w:style w:type="paragraph" w:styleId="Citationintense">
    <w:name w:val="Intense Quote"/>
    <w:basedOn w:val="Normal"/>
    <w:next w:val="Normal"/>
    <w:link w:val="CitationintenseCar"/>
    <w:uiPriority w:val="30"/>
    <w:qFormat/>
    <w:rsid w:val="00330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306A5"/>
    <w:rPr>
      <w:i/>
      <w:iCs/>
      <w:color w:val="0F4761" w:themeColor="accent1" w:themeShade="BF"/>
    </w:rPr>
  </w:style>
  <w:style w:type="character" w:styleId="Rfrenceintense">
    <w:name w:val="Intense Reference"/>
    <w:basedOn w:val="Policepardfaut"/>
    <w:uiPriority w:val="32"/>
    <w:qFormat/>
    <w:rsid w:val="003306A5"/>
    <w:rPr>
      <w:b/>
      <w:bCs/>
      <w:smallCaps/>
      <w:color w:val="0F4761" w:themeColor="accent1" w:themeShade="BF"/>
      <w:spacing w:val="5"/>
    </w:rPr>
  </w:style>
  <w:style w:type="paragraph" w:styleId="En-tte">
    <w:name w:val="header"/>
    <w:basedOn w:val="Normal"/>
    <w:link w:val="En-tteCar"/>
    <w:uiPriority w:val="99"/>
    <w:unhideWhenUsed/>
    <w:rsid w:val="00F65326"/>
    <w:pPr>
      <w:tabs>
        <w:tab w:val="center" w:pos="4536"/>
        <w:tab w:val="right" w:pos="9072"/>
      </w:tabs>
      <w:spacing w:after="0" w:line="240" w:lineRule="auto"/>
    </w:pPr>
  </w:style>
  <w:style w:type="character" w:customStyle="1" w:styleId="En-tteCar">
    <w:name w:val="En-tête Car"/>
    <w:basedOn w:val="Policepardfaut"/>
    <w:link w:val="En-tte"/>
    <w:uiPriority w:val="99"/>
    <w:rsid w:val="00F65326"/>
  </w:style>
  <w:style w:type="paragraph" w:styleId="Pieddepage">
    <w:name w:val="footer"/>
    <w:basedOn w:val="Normal"/>
    <w:link w:val="PieddepageCar"/>
    <w:uiPriority w:val="99"/>
    <w:unhideWhenUsed/>
    <w:rsid w:val="00F653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5326"/>
  </w:style>
  <w:style w:type="paragraph" w:styleId="Notedebasdepage">
    <w:name w:val="footnote text"/>
    <w:basedOn w:val="Normal"/>
    <w:link w:val="NotedebasdepageCar"/>
    <w:uiPriority w:val="99"/>
    <w:semiHidden/>
    <w:unhideWhenUsed/>
    <w:rsid w:val="005B683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B683B"/>
    <w:rPr>
      <w:sz w:val="20"/>
      <w:szCs w:val="20"/>
    </w:rPr>
  </w:style>
  <w:style w:type="character" w:styleId="Appelnotedebasdep">
    <w:name w:val="footnote reference"/>
    <w:basedOn w:val="Policepardfaut"/>
    <w:uiPriority w:val="99"/>
    <w:semiHidden/>
    <w:unhideWhenUsed/>
    <w:rsid w:val="005B683B"/>
    <w:rPr>
      <w:vertAlign w:val="superscript"/>
    </w:rPr>
  </w:style>
  <w:style w:type="character" w:customStyle="1" w:styleId="apple-converted-space">
    <w:name w:val="apple-converted-space"/>
    <w:basedOn w:val="Policepardfaut"/>
    <w:rsid w:val="0005633B"/>
  </w:style>
  <w:style w:type="character" w:styleId="Accentuation">
    <w:name w:val="Emphasis"/>
    <w:basedOn w:val="Policepardfaut"/>
    <w:uiPriority w:val="20"/>
    <w:qFormat/>
    <w:rsid w:val="000563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3</Pages>
  <Words>808</Words>
  <Characters>4444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Gauthier CLAIRENTEAU</dc:creator>
  <cp:keywords/>
  <dc:description/>
  <cp:lastModifiedBy>Gauthier CLAIRENTEAU</cp:lastModifiedBy>
  <cp:revision>13</cp:revision>
  <dcterms:created xsi:type="dcterms:W3CDTF">2026-01-05T05:05:00Z</dcterms:created>
  <dcterms:modified xsi:type="dcterms:W3CDTF">2026-04-02T18:58:00Z</dcterms:modified>
</cp:coreProperties>
</file>